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pPr>
      <w:r>
        <w:rPr/>
        <w:t>A DISCRIMINAÇÃO RACIAL NO BRASIL: VERDADES E MITOS</w:t>
      </w:r>
    </w:p>
    <w:p>
      <w:pPr>
        <w:pStyle w:val="BodyText"/>
        <w:rPr>
          <w:b/>
          <w:sz w:val="32"/>
        </w:rPr>
      </w:pPr>
    </w:p>
    <w:p>
      <w:pPr>
        <w:pStyle w:val="BodyText"/>
        <w:spacing w:before="202"/>
        <w:ind w:right="585"/>
        <w:jc w:val="right"/>
      </w:pPr>
      <w:r>
        <w:rPr/>
        <w:t>Bárbara Natália Lages</w:t>
      </w:r>
      <w:r>
        <w:rPr>
          <w:spacing w:val="-11"/>
        </w:rPr>
        <w:t> </w:t>
      </w:r>
      <w:r>
        <w:rPr/>
        <w:t>Lobo</w:t>
      </w:r>
      <w:r>
        <w:rPr>
          <w:vertAlign w:val="superscript"/>
        </w:rPr>
        <w:t>1</w:t>
      </w:r>
    </w:p>
    <w:p>
      <w:pPr>
        <w:pStyle w:val="BodyText"/>
        <w:rPr>
          <w:sz w:val="30"/>
        </w:rPr>
      </w:pPr>
    </w:p>
    <w:p>
      <w:pPr>
        <w:pStyle w:val="BodyText"/>
        <w:spacing w:before="207"/>
        <w:ind w:right="583"/>
        <w:jc w:val="right"/>
      </w:pPr>
      <w:r>
        <w:rPr/>
        <w:t>R. Deputado Bernardino Sena Figueiredo, nº 797 – apto. 301 – Cidade</w:t>
      </w:r>
      <w:r>
        <w:rPr>
          <w:spacing w:val="-14"/>
        </w:rPr>
        <w:t> </w:t>
      </w:r>
      <w:r>
        <w:rPr/>
        <w:t>Nova</w:t>
      </w:r>
    </w:p>
    <w:p>
      <w:pPr>
        <w:pStyle w:val="BodyText"/>
        <w:spacing w:line="360" w:lineRule="auto" w:before="137"/>
        <w:ind w:left="6167" w:right="584" w:hanging="675"/>
        <w:jc w:val="right"/>
      </w:pPr>
      <w:r>
        <w:rPr/>
        <w:t>Belo Horizonte – MG –</w:t>
      </w:r>
      <w:r>
        <w:rPr>
          <w:spacing w:val="-7"/>
        </w:rPr>
        <w:t> </w:t>
      </w:r>
      <w:r>
        <w:rPr/>
        <w:t>CEP 31170-210</w:t>
      </w:r>
      <w:r>
        <w:rPr>
          <w:w w:val="99"/>
        </w:rPr>
        <w:t> </w:t>
      </w:r>
      <w:r>
        <w:rPr/>
        <w:t>Tel.: (31) 3484-5960 –</w:t>
      </w:r>
      <w:r>
        <w:rPr>
          <w:spacing w:val="-18"/>
        </w:rPr>
        <w:t> </w:t>
      </w:r>
      <w:r>
        <w:rPr/>
        <w:t>93965960</w:t>
      </w:r>
    </w:p>
    <w:p>
      <w:pPr>
        <w:pStyle w:val="BodyText"/>
        <w:ind w:right="586"/>
        <w:jc w:val="right"/>
      </w:pPr>
      <w:r>
        <w:rPr/>
        <w:t>E-mail:</w:t>
      </w:r>
      <w:r>
        <w:rPr>
          <w:spacing w:val="-9"/>
        </w:rPr>
        <w:t> </w:t>
      </w:r>
      <w:hyperlink r:id="rId5">
        <w:r>
          <w:rPr/>
          <w:t>barbaralobo@hotmail.com</w:t>
        </w:r>
      </w:hyperlink>
    </w:p>
    <w:p>
      <w:pPr>
        <w:pStyle w:val="BodyText"/>
        <w:rPr>
          <w:sz w:val="26"/>
        </w:rPr>
      </w:pPr>
    </w:p>
    <w:p>
      <w:pPr>
        <w:pStyle w:val="BodyText"/>
        <w:spacing w:before="5"/>
        <w:rPr>
          <w:sz w:val="22"/>
        </w:rPr>
      </w:pPr>
    </w:p>
    <w:p>
      <w:pPr>
        <w:pStyle w:val="Heading1"/>
        <w:numPr>
          <w:ilvl w:val="0"/>
          <w:numId w:val="1"/>
        </w:numPr>
        <w:tabs>
          <w:tab w:pos="542" w:val="left" w:leader="none"/>
        </w:tabs>
        <w:spacing w:line="240" w:lineRule="auto" w:before="0" w:after="0"/>
        <w:ind w:left="541" w:right="0" w:hanging="241"/>
        <w:jc w:val="left"/>
      </w:pPr>
      <w:r>
        <w:rPr/>
        <w:t>INTRODUÇÃO</w:t>
      </w:r>
    </w:p>
    <w:p>
      <w:pPr>
        <w:pStyle w:val="BodyText"/>
        <w:rPr>
          <w:b/>
          <w:sz w:val="26"/>
        </w:rPr>
      </w:pPr>
    </w:p>
    <w:p>
      <w:pPr>
        <w:pStyle w:val="BodyText"/>
        <w:spacing w:before="4"/>
        <w:rPr>
          <w:b/>
          <w:sz w:val="21"/>
        </w:rPr>
      </w:pPr>
    </w:p>
    <w:p>
      <w:pPr>
        <w:pStyle w:val="BodyText"/>
        <w:spacing w:line="360" w:lineRule="auto"/>
        <w:ind w:left="301" w:right="583" w:firstLine="708"/>
        <w:jc w:val="both"/>
      </w:pPr>
      <w:r>
        <w:rPr/>
        <w:t>Muito se discute a respeito da existência de discriminação racial no Brasil. Os que admitem a sua existência, afirmam que nos deparamos com várias atitudes racistas, diariamente. Já os que não admitem a existência de discriminação racial no Brasil, fundamentam seu pensamento na idéia de que aqui é um país de mestiços e que a verdadeira discriminação refere-se à classe social, e não à cor da pele.</w:t>
      </w:r>
    </w:p>
    <w:p>
      <w:pPr>
        <w:pStyle w:val="BodyText"/>
        <w:spacing w:line="360" w:lineRule="auto"/>
        <w:ind w:left="301" w:right="584" w:firstLine="708"/>
        <w:jc w:val="both"/>
      </w:pPr>
      <w:r>
        <w:rPr/>
        <w:t>Partindo da idéia de que aqui há discriminação racial, demonstraremos que a idéia de igualdade em razão da miscigenação, bem como a democracia racial são mitos, para, assim, demonstrar a necessidade e urgência das ações afirmativas como forma de combate à discriminação racial no Brasil.</w:t>
      </w:r>
    </w:p>
    <w:p>
      <w:pPr>
        <w:pStyle w:val="BodyText"/>
        <w:spacing w:before="3"/>
        <w:rPr>
          <w:sz w:val="36"/>
        </w:rPr>
      </w:pPr>
    </w:p>
    <w:p>
      <w:pPr>
        <w:pStyle w:val="Heading1"/>
        <w:numPr>
          <w:ilvl w:val="0"/>
          <w:numId w:val="1"/>
        </w:numPr>
        <w:tabs>
          <w:tab w:pos="542" w:val="left" w:leader="none"/>
        </w:tabs>
        <w:spacing w:line="240" w:lineRule="auto" w:before="0" w:after="0"/>
        <w:ind w:left="541" w:right="0" w:hanging="241"/>
        <w:jc w:val="left"/>
      </w:pPr>
      <w:r>
        <w:rPr/>
        <w:t>DISCRIMINAÇÃO</w:t>
      </w:r>
      <w:r>
        <w:rPr>
          <w:spacing w:val="2"/>
        </w:rPr>
        <w:t> </w:t>
      </w:r>
      <w:r>
        <w:rPr/>
        <w:t>RACIAL</w:t>
      </w:r>
    </w:p>
    <w:p>
      <w:pPr>
        <w:pStyle w:val="BodyText"/>
        <w:rPr>
          <w:b/>
          <w:sz w:val="26"/>
        </w:rPr>
      </w:pPr>
    </w:p>
    <w:p>
      <w:pPr>
        <w:pStyle w:val="BodyText"/>
        <w:spacing w:before="6"/>
        <w:rPr>
          <w:b/>
          <w:sz w:val="21"/>
        </w:rPr>
      </w:pPr>
    </w:p>
    <w:p>
      <w:pPr>
        <w:pStyle w:val="BodyText"/>
        <w:spacing w:line="360" w:lineRule="auto" w:before="1"/>
        <w:ind w:left="301" w:right="585" w:firstLine="708"/>
        <w:jc w:val="both"/>
      </w:pPr>
      <w:r>
        <w:rPr/>
        <w:t>Segundo a Convenção Internacional para a Eliminação de todas as Normas de Discriminação Racial da ONU, ratificada pelo Brasil em 27 de março de 1968, a discriminação racial, conforme seu artigo</w:t>
      </w:r>
      <w:r>
        <w:rPr>
          <w:spacing w:val="2"/>
        </w:rPr>
        <w:t> </w:t>
      </w:r>
      <w:r>
        <w:rPr/>
        <w:t>1°:</w:t>
      </w:r>
    </w:p>
    <w:p>
      <w:pPr>
        <w:spacing w:line="240" w:lineRule="auto" w:before="0"/>
        <w:ind w:left="2569" w:right="580" w:firstLine="60"/>
        <w:jc w:val="both"/>
        <w:rPr>
          <w:sz w:val="20"/>
        </w:rPr>
      </w:pPr>
      <w:r>
        <w:rPr>
          <w:i/>
          <w:sz w:val="20"/>
        </w:rPr>
        <w:t>“significa qualquer distinção, exclusão, restrição ou preferência baseada na raça, </w:t>
      </w:r>
      <w:r>
        <w:rPr>
          <w:i/>
          <w:sz w:val="20"/>
        </w:rPr>
        <w:t>cor, ascendência, origem étnica ou nacional com a finalidade ou o efeito de impedir ou dificultar o reconhecimento e/ou exercício, em bases de igualdade, aos direitos humanos e liberdades fundamentais nos campos político, econômico, social,  cultural ou qualquer outra área da vida</w:t>
      </w:r>
      <w:r>
        <w:rPr>
          <w:i/>
          <w:spacing w:val="1"/>
          <w:sz w:val="20"/>
        </w:rPr>
        <w:t> </w:t>
      </w:r>
      <w:r>
        <w:rPr>
          <w:i/>
          <w:sz w:val="20"/>
        </w:rPr>
        <w:t>pública"</w:t>
      </w:r>
      <w:r>
        <w:rPr>
          <w:sz w:val="20"/>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5"/>
        </w:rPr>
      </w:pPr>
      <w:r>
        <w:rPr/>
        <w:pict>
          <v:rect style="position:absolute;margin-left:85.079521pt;margin-top:11.112672pt;width:143.999997pt;height:.479531pt;mso-position-horizontal-relative:page;mso-position-vertical-relative:paragraph;z-index:-15728640;mso-wrap-distance-left:0;mso-wrap-distance-right:0" filled="true" fillcolor="#000000" stroked="false">
            <v:fill type="solid"/>
            <w10:wrap type="topAndBottom"/>
          </v:rect>
        </w:pict>
      </w:r>
    </w:p>
    <w:p>
      <w:pPr>
        <w:spacing w:before="43"/>
        <w:ind w:left="301" w:right="0" w:firstLine="0"/>
        <w:jc w:val="left"/>
        <w:rPr>
          <w:sz w:val="20"/>
        </w:rPr>
      </w:pPr>
      <w:r>
        <w:rPr>
          <w:sz w:val="20"/>
          <w:vertAlign w:val="superscript"/>
        </w:rPr>
        <w:t>1</w:t>
      </w:r>
      <w:r>
        <w:rPr>
          <w:sz w:val="20"/>
          <w:vertAlign w:val="baseline"/>
        </w:rPr>
        <w:t> PUC-MG</w:t>
      </w:r>
    </w:p>
    <w:p>
      <w:pPr>
        <w:spacing w:after="0"/>
        <w:jc w:val="left"/>
        <w:rPr>
          <w:sz w:val="20"/>
        </w:rPr>
        <w:sectPr>
          <w:type w:val="continuous"/>
          <w:pgSz w:w="11900" w:h="16840"/>
          <w:pgMar w:top="1600" w:bottom="280" w:left="1400" w:right="540"/>
        </w:sectPr>
      </w:pPr>
    </w:p>
    <w:p>
      <w:pPr>
        <w:spacing w:line="360" w:lineRule="auto" w:before="96"/>
        <w:ind w:left="301" w:right="585" w:firstLine="708"/>
        <w:jc w:val="both"/>
        <w:rPr>
          <w:i/>
          <w:sz w:val="24"/>
        </w:rPr>
      </w:pPr>
      <w:r>
        <w:rPr>
          <w:sz w:val="24"/>
        </w:rPr>
        <w:t>Já o termo preconceito, refere-se à discriminação que não é exteriorizada. A discriminação racial, também pode ser tratada como </w:t>
      </w:r>
      <w:r>
        <w:rPr>
          <w:i/>
          <w:sz w:val="24"/>
        </w:rPr>
        <w:t>segregacionismo, </w:t>
      </w:r>
      <w:r>
        <w:rPr>
          <w:sz w:val="24"/>
        </w:rPr>
        <w:t>aqui entendida conforme o </w:t>
      </w:r>
      <w:r>
        <w:rPr>
          <w:i/>
          <w:sz w:val="24"/>
        </w:rPr>
        <w:t>Aurélio, </w:t>
      </w:r>
      <w:r>
        <w:rPr>
          <w:sz w:val="24"/>
        </w:rPr>
        <w:t>ou seja, </w:t>
      </w:r>
      <w:r>
        <w:rPr>
          <w:i/>
          <w:sz w:val="24"/>
        </w:rPr>
        <w:t>“política ou atitude política de segregação racial”.</w:t>
      </w:r>
    </w:p>
    <w:p>
      <w:pPr>
        <w:pStyle w:val="BodyText"/>
        <w:spacing w:line="360" w:lineRule="auto"/>
        <w:ind w:left="301" w:right="583" w:firstLine="708"/>
        <w:jc w:val="both"/>
      </w:pPr>
      <w:r>
        <w:rPr/>
        <w:t>Neste trabalho esses termos serão tratados como sinônimos, ou seja, o conceito de preconceito com o qual trabalharemos é o objetivo, o exteriorizado. Entendemos por discriminação qualquer atitude atentatória ao direito fundamental de igualdade; ao igual direito de oportunidades e chances; ao pluralismo característico do Estado Democrático de Direito; e à democracia, entendida aqui, como acima explicitado, como a possibilidade de todos os indivíduos participarem de forma ativa e eficaz na construção da</w:t>
      </w:r>
      <w:r>
        <w:rPr>
          <w:spacing w:val="-8"/>
        </w:rPr>
        <w:t> </w:t>
      </w:r>
      <w:r>
        <w:rPr/>
        <w:t>sociedade.</w:t>
      </w:r>
    </w:p>
    <w:p>
      <w:pPr>
        <w:pStyle w:val="BodyText"/>
        <w:rPr>
          <w:sz w:val="26"/>
        </w:rPr>
      </w:pPr>
    </w:p>
    <w:p>
      <w:pPr>
        <w:pStyle w:val="BodyText"/>
        <w:rPr>
          <w:sz w:val="26"/>
        </w:rPr>
      </w:pPr>
    </w:p>
    <w:p>
      <w:pPr>
        <w:pStyle w:val="Heading1"/>
        <w:numPr>
          <w:ilvl w:val="1"/>
          <w:numId w:val="1"/>
        </w:numPr>
        <w:tabs>
          <w:tab w:pos="662" w:val="left" w:leader="none"/>
        </w:tabs>
        <w:spacing w:line="240" w:lineRule="auto" w:before="231" w:after="0"/>
        <w:ind w:left="661" w:right="0" w:hanging="361"/>
        <w:jc w:val="both"/>
      </w:pPr>
      <w:r>
        <w:rPr/>
        <w:t>A população afro-descendente no</w:t>
      </w:r>
      <w:r>
        <w:rPr>
          <w:spacing w:val="-3"/>
        </w:rPr>
        <w:t> </w:t>
      </w:r>
      <w:r>
        <w:rPr/>
        <w:t>Brasil</w:t>
      </w:r>
    </w:p>
    <w:p>
      <w:pPr>
        <w:pStyle w:val="BodyText"/>
        <w:rPr>
          <w:b/>
          <w:sz w:val="26"/>
        </w:rPr>
      </w:pPr>
    </w:p>
    <w:p>
      <w:pPr>
        <w:pStyle w:val="BodyText"/>
        <w:spacing w:before="4"/>
        <w:rPr>
          <w:b/>
          <w:sz w:val="21"/>
        </w:rPr>
      </w:pPr>
    </w:p>
    <w:p>
      <w:pPr>
        <w:pStyle w:val="BodyText"/>
        <w:spacing w:line="360" w:lineRule="auto" w:before="1"/>
        <w:ind w:left="301" w:right="582" w:firstLine="707"/>
        <w:jc w:val="both"/>
      </w:pPr>
      <w:r>
        <w:rPr/>
        <w:t>Para melhor compreensão do nosso estudo, é necessário que analisemos a população negra no Brasil: no censo elaborado pelo IBGE, no ano 2000, foram contados 169.799.170 brasileiros, destes 6,1% são pretos, e 38,9% são pardos, ou seja, 45% da população brasileira,</w:t>
      </w:r>
    </w:p>
    <w:p>
      <w:pPr>
        <w:pStyle w:val="BodyText"/>
        <w:spacing w:line="360" w:lineRule="auto"/>
        <w:ind w:left="301" w:right="584"/>
        <w:jc w:val="both"/>
      </w:pPr>
      <w:r>
        <w:rPr/>
        <w:t>76.419.233 pessoas se enquadram nos classificados afro-brasileiros. Neste trabalho, usaremos este termo e o termo negros para designar essa população.</w:t>
      </w:r>
    </w:p>
    <w:p>
      <w:pPr>
        <w:spacing w:line="360" w:lineRule="auto" w:before="0"/>
        <w:ind w:left="301" w:right="584" w:firstLine="708"/>
        <w:jc w:val="both"/>
        <w:rPr>
          <w:i/>
          <w:sz w:val="24"/>
        </w:rPr>
      </w:pPr>
      <w:r>
        <w:rPr>
          <w:sz w:val="24"/>
        </w:rPr>
        <w:t>Ao analisarmos esses números, nos vem a pergunta </w:t>
      </w:r>
      <w:r>
        <w:rPr>
          <w:i/>
          <w:sz w:val="24"/>
        </w:rPr>
        <w:t>se existe tal quantidade de negros </w:t>
      </w:r>
      <w:r>
        <w:rPr>
          <w:i/>
          <w:sz w:val="24"/>
        </w:rPr>
        <w:t>no Brasil, por quê ainda são considerados minorias?</w:t>
      </w:r>
    </w:p>
    <w:p>
      <w:pPr>
        <w:pStyle w:val="BodyText"/>
        <w:spacing w:line="360" w:lineRule="auto"/>
        <w:ind w:left="301" w:right="582" w:firstLine="707"/>
        <w:jc w:val="both"/>
      </w:pPr>
      <w:r>
        <w:rPr/>
        <w:t>A resposta a essa pergunta será respondida neste trabalho quando tratarmos da discriminação racial em nosso País. Mas, como breve esclarecimento, nos utilizaremos de um dos significados da palavra minoria contido no Dicionário Aurélio, que por si só, dispensa quaisquer outros</w:t>
      </w:r>
      <w:r>
        <w:rPr>
          <w:spacing w:val="-2"/>
        </w:rPr>
        <w:t> </w:t>
      </w:r>
      <w:r>
        <w:rPr/>
        <w:t>comentários:</w:t>
      </w:r>
    </w:p>
    <w:p>
      <w:pPr>
        <w:spacing w:line="240" w:lineRule="auto" w:before="0"/>
        <w:ind w:left="2569" w:right="580" w:hanging="1"/>
        <w:jc w:val="both"/>
        <w:rPr>
          <w:i/>
          <w:sz w:val="20"/>
        </w:rPr>
      </w:pPr>
      <w:r>
        <w:rPr>
          <w:sz w:val="20"/>
        </w:rPr>
        <w:t>“</w:t>
      </w:r>
      <w:r>
        <w:rPr>
          <w:i/>
          <w:sz w:val="20"/>
        </w:rPr>
        <w:t>4. Antrop. Sociol. Subgrupo que, dentro de uma sociedade, considera-se e/ou é </w:t>
      </w:r>
      <w:r>
        <w:rPr>
          <w:i/>
          <w:sz w:val="20"/>
        </w:rPr>
        <w:t>considerado diferente do grupo maior e dominante, em razão de características étnicas, religiosas, ou de língua, costumes, nacionalidade, etc., e que em razão dessas diferenças não participa integralmente, em igualdade de condições, da vida social.”</w:t>
      </w:r>
    </w:p>
    <w:p>
      <w:pPr>
        <w:pStyle w:val="BodyText"/>
        <w:rPr>
          <w:i/>
          <w:sz w:val="22"/>
        </w:rPr>
      </w:pPr>
    </w:p>
    <w:p>
      <w:pPr>
        <w:pStyle w:val="BodyText"/>
        <w:spacing w:line="360" w:lineRule="auto" w:before="156"/>
        <w:ind w:left="301" w:right="584" w:firstLine="708"/>
        <w:jc w:val="both"/>
      </w:pPr>
      <w:r>
        <w:rPr/>
        <w:t>A população negra do nosso País se vê tolhida em vários direitos fundamentais, como a educação, o trabalho e o respeito à sua dignidade. Mais abaixo, com dados numéricos, comprovaremos porque os negros ainda são considerados “minoria” no</w:t>
      </w:r>
      <w:r>
        <w:rPr>
          <w:spacing w:val="-3"/>
        </w:rPr>
        <w:t> </w:t>
      </w:r>
      <w:r>
        <w:rPr/>
        <w:t>Brasil.</w:t>
      </w:r>
    </w:p>
    <w:p>
      <w:pPr>
        <w:spacing w:after="0" w:line="360" w:lineRule="auto"/>
        <w:jc w:val="both"/>
        <w:sectPr>
          <w:pgSz w:w="11900" w:h="16840"/>
          <w:pgMar w:top="1600" w:bottom="280" w:left="1400" w:right="540"/>
        </w:sectPr>
      </w:pPr>
    </w:p>
    <w:p>
      <w:pPr>
        <w:pStyle w:val="Heading1"/>
        <w:numPr>
          <w:ilvl w:val="1"/>
          <w:numId w:val="1"/>
        </w:numPr>
        <w:tabs>
          <w:tab w:pos="662" w:val="left" w:leader="none"/>
        </w:tabs>
        <w:spacing w:line="240" w:lineRule="auto" w:before="100" w:after="0"/>
        <w:ind w:left="661" w:right="0" w:hanging="361"/>
        <w:jc w:val="left"/>
      </w:pPr>
      <w:r>
        <w:rPr/>
        <w:t>Discriminação racial no</w:t>
      </w:r>
      <w:r>
        <w:rPr>
          <w:spacing w:val="-1"/>
        </w:rPr>
        <w:t> </w:t>
      </w:r>
      <w:r>
        <w:rPr/>
        <w:t>Brasil</w:t>
      </w:r>
    </w:p>
    <w:p>
      <w:pPr>
        <w:pStyle w:val="BodyText"/>
        <w:rPr>
          <w:b/>
          <w:sz w:val="26"/>
        </w:rPr>
      </w:pPr>
    </w:p>
    <w:p>
      <w:pPr>
        <w:pStyle w:val="BodyText"/>
        <w:spacing w:before="5"/>
        <w:rPr>
          <w:b/>
          <w:sz w:val="21"/>
        </w:rPr>
      </w:pPr>
    </w:p>
    <w:p>
      <w:pPr>
        <w:pStyle w:val="BodyText"/>
        <w:spacing w:line="360" w:lineRule="auto"/>
        <w:ind w:left="301" w:right="583" w:firstLine="708"/>
        <w:jc w:val="both"/>
      </w:pPr>
      <w:r>
        <w:rPr/>
        <w:t>No Brasil, costuma-se acreditar em um convívio racial harmonioso, acredita-se, inclusive, que em nosso País não existe distinção de raças devido à mestiçagem. Mas não é bem assim, no dia a dia podemos notar, sem consulta a qualquer pesquisa ou dado estatístico, que a maioria dos pobres são negros, o que mais abaixo provaremos que não se trata de mera coincidência.</w:t>
      </w:r>
    </w:p>
    <w:p>
      <w:pPr>
        <w:pStyle w:val="BodyText"/>
        <w:spacing w:line="360" w:lineRule="auto"/>
        <w:ind w:left="301" w:right="583" w:firstLine="708"/>
        <w:jc w:val="both"/>
      </w:pPr>
      <w:r>
        <w:rPr/>
        <w:t>Percebe-se que, em nosso País, o mais difícil é admitir-se preconceituoso, mas atitudes inconscientes nos revelam um racismo latente, manifestado em pequenos gestos como se perguntar “como uma menina tão branquinha namora esse negão”, ou usar termos tais como “crioulo”, “macaco” quando se fala dos negros, e vários outros exemplos presenciados na nossa sociedade.</w:t>
      </w:r>
    </w:p>
    <w:p>
      <w:pPr>
        <w:pStyle w:val="BodyText"/>
        <w:spacing w:line="275" w:lineRule="exact"/>
        <w:ind w:left="1009"/>
        <w:jc w:val="both"/>
      </w:pPr>
      <w:r>
        <w:rPr/>
        <w:t>Com muita propriedade Lilia Moritiz Schuwarcz, trata do tema ao afirmar que:</w:t>
      </w:r>
    </w:p>
    <w:p>
      <w:pPr>
        <w:spacing w:before="135"/>
        <w:ind w:left="2569" w:right="580" w:firstLine="0"/>
        <w:jc w:val="both"/>
        <w:rPr>
          <w:sz w:val="20"/>
        </w:rPr>
      </w:pPr>
      <w:r>
        <w:rPr>
          <w:sz w:val="20"/>
        </w:rPr>
        <w:t>“</w:t>
      </w:r>
      <w:r>
        <w:rPr>
          <w:i/>
          <w:sz w:val="20"/>
        </w:rPr>
        <w:t>(...) ninguém nega que exista racismo no Brasil, mas sua prática é sempre </w:t>
      </w:r>
      <w:r>
        <w:rPr>
          <w:i/>
          <w:sz w:val="20"/>
        </w:rPr>
        <w:t>atribuída a ‘outro’. Seja da parte que age de maneira preconceituosa, seja daquela de quem sofre com o preconceito, o difícil é admitir a discriminação e não o ato de discriminar. Além disso, o problema parece ser o de afirmar oficialmente o preconceito e não o de reconhecê-lo na intimidade. Tudo isso indica que estamos diante de um tipo particular de racismo, um racismo silencioso e sem cara que se esconde por trás de uma suposta garantia da universalidade e da igualdade das leis e que lança para o terreno privado o jogo da discriminação. Com efeito, em uma sociedade marcada historicamente pela desigualdade, pelo paternalismo das relações e pelo clientelismo, o racismo só se afirma na intimidade. E da ordem do privado, pois não se regula pela lei, não se afirma publicamente. No entanto, depende da esfera pública para sua explicitação, numa complicada demonstração de etiqueta que mistura raça com educação e com posição social e econômica. ‘Preto rico no Brasil é branco, assim como branco pobre é preto’, diz o dito popular. Não se ‘preconceitua’ um vereador negro, a menos que não se saiba que é um vereador; só se discrimina um estrangeiro igualmente negro enquanto sua condição estiver pouco especificada.” </w:t>
      </w:r>
      <w:r>
        <w:rPr>
          <w:sz w:val="20"/>
        </w:rPr>
        <w:t>(SCHUWARCZ, 1998,</w:t>
      </w:r>
      <w:r>
        <w:rPr>
          <w:spacing w:val="-4"/>
          <w:sz w:val="20"/>
        </w:rPr>
        <w:t> </w:t>
      </w:r>
      <w:r>
        <w:rPr>
          <w:sz w:val="20"/>
        </w:rPr>
        <w:t>p.181).</w:t>
      </w:r>
    </w:p>
    <w:p>
      <w:pPr>
        <w:pStyle w:val="BodyText"/>
        <w:rPr>
          <w:sz w:val="22"/>
        </w:rPr>
      </w:pPr>
    </w:p>
    <w:p>
      <w:pPr>
        <w:pStyle w:val="BodyText"/>
        <w:spacing w:line="360" w:lineRule="auto" w:before="158"/>
        <w:ind w:left="301" w:right="583" w:firstLine="708"/>
        <w:jc w:val="both"/>
      </w:pPr>
      <w:r>
        <w:rPr/>
        <w:t>O preconceito racial no Brasil faz parte da sua história, do seu passado escravista a uma abolição que pouco modificou a situação dos negros da época, que se reflete até hoje na permanência dos negros nas funções subalternas. A abolição não significou real libertação dos negros, tendo em vista que, para sobreviverem, ainda tinham que estar</w:t>
      </w:r>
      <w:r>
        <w:rPr>
          <w:spacing w:val="-9"/>
        </w:rPr>
        <w:t> </w:t>
      </w:r>
      <w:r>
        <w:rPr/>
        <w:t>submissos.</w:t>
      </w:r>
    </w:p>
    <w:p>
      <w:pPr>
        <w:pStyle w:val="BodyText"/>
        <w:spacing w:line="360" w:lineRule="auto"/>
        <w:ind w:left="301" w:right="583" w:firstLine="708"/>
        <w:jc w:val="both"/>
      </w:pPr>
      <w:r>
        <w:rPr/>
        <w:t>No Brasil, foi amplamente difundida a idéia da “democracia racial”, ou seja, a mestiçagem, o pensamento de que no Brasil não existem raças, de que somos um povo miscigenado; essa idéia se mostra como um mito a partir da observação de que no Brasil existe um preconceito racial, este preconceito visto como a crença em que há diferença entre as raças, inclusive, a supremacia da raça branca sobre a negra, a difusão desse pensamento só contribui para a perpetuação do racismo velado, presente em nossa</w:t>
      </w:r>
      <w:r>
        <w:rPr>
          <w:spacing w:val="-4"/>
        </w:rPr>
        <w:t> </w:t>
      </w:r>
      <w:r>
        <w:rPr/>
        <w:t>sociedade.</w:t>
      </w:r>
    </w:p>
    <w:p>
      <w:pPr>
        <w:spacing w:after="0" w:line="360" w:lineRule="auto"/>
        <w:jc w:val="both"/>
        <w:sectPr>
          <w:pgSz w:w="11900" w:h="16840"/>
          <w:pgMar w:top="1600" w:bottom="280" w:left="1400" w:right="540"/>
        </w:sectPr>
      </w:pPr>
    </w:p>
    <w:p>
      <w:pPr>
        <w:pStyle w:val="BodyText"/>
        <w:spacing w:line="360" w:lineRule="auto" w:before="96"/>
        <w:ind w:left="301" w:right="582" w:firstLine="708"/>
        <w:jc w:val="both"/>
      </w:pPr>
      <w:r>
        <w:rPr/>
        <w:t>Vários autores criticam com muita razão esse mito da democracia racial, tão disseminado, propagando uma igualdade que se mostra falsa e irreal. Esse mito é poderoso mecanismo de dominação ideológica falaciosa de que a população brasileira, por ser miscigenada está aberta a contatos inter-raciais.</w:t>
      </w:r>
    </w:p>
    <w:p>
      <w:pPr>
        <w:pStyle w:val="BodyText"/>
        <w:spacing w:line="360" w:lineRule="auto"/>
        <w:ind w:left="301" w:right="586" w:firstLine="708"/>
        <w:jc w:val="both"/>
      </w:pPr>
      <w:r>
        <w:rPr/>
        <w:t>A escravidão que existiu no Brasil não foi vista só no passado; está ainda presente nos nossos preconceitos. Velamos o racismo que praticamos e o atribuímos sempre ao outro. No Brasil não há grandes conflitos raciais, acredita-se aqui na “boa convivência” entre as raças, o que disfarça a prática da discriminação.</w:t>
      </w:r>
    </w:p>
    <w:p>
      <w:pPr>
        <w:pStyle w:val="BodyText"/>
        <w:spacing w:line="360" w:lineRule="auto"/>
        <w:ind w:left="301" w:right="585" w:firstLine="708"/>
        <w:jc w:val="both"/>
      </w:pPr>
      <w:r>
        <w:rPr/>
        <w:t>A respeito do mito da democracia racial o autor Joaze Bernardino também emite uma opinião com a qual concordamos:</w:t>
      </w:r>
    </w:p>
    <w:p>
      <w:pPr>
        <w:tabs>
          <w:tab w:pos="5744" w:val="left" w:leader="none"/>
          <w:tab w:pos="7244" w:val="left" w:leader="none"/>
          <w:tab w:pos="9073" w:val="left" w:leader="none"/>
        </w:tabs>
        <w:spacing w:line="240" w:lineRule="auto" w:before="0"/>
        <w:ind w:left="2569" w:right="582" w:firstLine="0"/>
        <w:jc w:val="both"/>
        <w:rPr>
          <w:sz w:val="20"/>
        </w:rPr>
      </w:pPr>
      <w:r>
        <w:rPr>
          <w:i/>
          <w:sz w:val="20"/>
        </w:rPr>
        <w:t>“Diante desta realidade social estruturada pelo mito da democracia racial e pelo </w:t>
      </w:r>
      <w:r>
        <w:rPr>
          <w:i/>
          <w:sz w:val="20"/>
        </w:rPr>
        <w:t>ideal de branqueamento, manteve-se intacto o padrão de relações raciais brasileiro, não sendo posto em prática nenhum tipo de política que pudesse corrigir as desigualdades raciais. Isto aconteceu desta forma simplesmente porque a interpretação hegemônica acerca das relações raciais brasileira, até mesmo entre setores progressistas, não identificava nenhum problema de justiça racial. Estava vedada, portanto, a possibilidade de intervenção organizada na realidade, restando à população de cor a via da infiltração pessoal, que obviamente não possui alcance coletivo”.</w:t>
      </w:r>
      <w:r>
        <w:rPr>
          <w:sz w:val="20"/>
        </w:rPr>
        <w:t>(BERNARDINO,</w:t>
        <w:tab/>
        <w:t>[200-],</w:t>
        <w:tab/>
        <w:t>Disponível</w:t>
        <w:tab/>
      </w:r>
      <w:r>
        <w:rPr>
          <w:spacing w:val="-5"/>
          <w:sz w:val="20"/>
        </w:rPr>
        <w:t>em:</w:t>
      </w:r>
    </w:p>
    <w:p>
      <w:pPr>
        <w:spacing w:line="229" w:lineRule="exact" w:before="0"/>
        <w:ind w:left="2569" w:right="0" w:firstLine="0"/>
        <w:jc w:val="left"/>
        <w:rPr>
          <w:sz w:val="20"/>
        </w:rPr>
      </w:pPr>
      <w:hyperlink r:id="rId6">
        <w:r>
          <w:rPr>
            <w:sz w:val="20"/>
          </w:rPr>
          <w:t>&lt;http://www.scielo.br/pdf/eaa/v24n2/a02v24n2.pdf</w:t>
        </w:r>
      </w:hyperlink>
      <w:r>
        <w:rPr>
          <w:sz w:val="20"/>
        </w:rPr>
        <w:t>&gt;)</w:t>
      </w:r>
    </w:p>
    <w:p>
      <w:pPr>
        <w:pStyle w:val="BodyText"/>
        <w:rPr>
          <w:sz w:val="22"/>
        </w:rPr>
      </w:pPr>
    </w:p>
    <w:p>
      <w:pPr>
        <w:pStyle w:val="BodyText"/>
        <w:spacing w:line="360" w:lineRule="auto" w:before="155"/>
        <w:ind w:left="301" w:right="583" w:firstLine="708"/>
        <w:jc w:val="both"/>
        <w:rPr>
          <w:i/>
        </w:rPr>
      </w:pPr>
      <w:r>
        <w:rPr/>
        <w:t>O mito da democracia racial é visto pelos vários autores como obstáculo a uma discussão sobre a necessidade de se adotar medidas que eliminem a discriminação racial, conforme Eduardo Oliveira</w:t>
      </w:r>
      <w:r>
        <w:rPr>
          <w:i/>
        </w:rPr>
        <w:t>:</w:t>
      </w:r>
    </w:p>
    <w:p>
      <w:pPr>
        <w:spacing w:line="240" w:lineRule="auto" w:before="0"/>
        <w:ind w:left="2569" w:right="581" w:firstLine="0"/>
        <w:jc w:val="both"/>
        <w:rPr>
          <w:sz w:val="20"/>
        </w:rPr>
      </w:pPr>
      <w:r>
        <w:rPr>
          <w:i/>
          <w:sz w:val="20"/>
        </w:rPr>
        <w:t>“Como herança ideológica, o mito da democracia racial nos persegue até hoje. Ele </w:t>
      </w:r>
      <w:r>
        <w:rPr>
          <w:i/>
          <w:sz w:val="20"/>
        </w:rPr>
        <w:t>continua sendo base da crença nacional na inexistência de mecanismos de discriminação e se coloca como um eterno obstáculo ao debate sobre as relações raciais e culturais no País. No ideário da democracia racial criou-se na figura do mestiço um tipo ideal, capaz de diluir as características específicas (culturais e biológicas) dos diferentes conjuntos identitários. Entretanto, não podemos deixar de lembrar que este tipo ideal foi pensado, acima de tudo, como resposta ao potencial conflito da oposição branco-negro, numa sociedade fundada sob o signo da desigualdade entre as duas raças através do escravismo. Se o ideário da miscigenação tira do branco seu teor de "pureza", ele retira do elemento negro o direito à existência - deve-se considerar a influência da tese do embranquecimento entre nós.”</w:t>
      </w:r>
      <w:r>
        <w:rPr>
          <w:sz w:val="20"/>
        </w:rPr>
        <w:t>(OLIVEIRA, 1997)</w:t>
      </w:r>
    </w:p>
    <w:p>
      <w:pPr>
        <w:pStyle w:val="BodyText"/>
        <w:rPr>
          <w:sz w:val="22"/>
        </w:rPr>
      </w:pPr>
    </w:p>
    <w:p>
      <w:pPr>
        <w:pStyle w:val="BodyText"/>
        <w:spacing w:line="360" w:lineRule="auto" w:before="159"/>
        <w:ind w:left="301" w:right="586" w:firstLine="708"/>
        <w:jc w:val="both"/>
      </w:pPr>
      <w:r>
        <w:rPr/>
        <w:t>O autor Sales Augusto dos Santos sintetiza de forma sábia e peculiar a discriminação racial no Brasil:</w:t>
      </w:r>
    </w:p>
    <w:p>
      <w:pPr>
        <w:spacing w:line="240" w:lineRule="auto" w:before="0"/>
        <w:ind w:left="2569" w:right="581" w:firstLine="0"/>
        <w:jc w:val="both"/>
        <w:rPr>
          <w:sz w:val="20"/>
        </w:rPr>
      </w:pPr>
      <w:r>
        <w:rPr>
          <w:i/>
          <w:sz w:val="20"/>
        </w:rPr>
        <w:t>“Discriminamos os negros mas resistimos a reconhecer a discriminação racial que </w:t>
      </w:r>
      <w:r>
        <w:rPr>
          <w:i/>
          <w:sz w:val="20"/>
        </w:rPr>
        <w:t>praticamos contra esse grupo racial.(…)o racismo está no outro bairro, na outra empresa, na outra universidade, na outra cidade, no outro estado, em outro país, entre outros, menos em nós mesmos. Nós, por mais que os dados estatísticos oficiais e não oficiais nos indiquem abismais desigualdades entre negros e brancos, achamos que não temos nada a ver com isso, pois a maioria absoluta dos brasileiros só vê o racismo dos outros e nos outros, nunca neles mesmos.” </w:t>
      </w:r>
      <w:r>
        <w:rPr>
          <w:sz w:val="20"/>
        </w:rPr>
        <w:t>(SANTOS, 2003,</w:t>
      </w:r>
      <w:r>
        <w:rPr>
          <w:spacing w:val="1"/>
          <w:sz w:val="20"/>
        </w:rPr>
        <w:t> </w:t>
      </w:r>
      <w:r>
        <w:rPr>
          <w:sz w:val="20"/>
        </w:rPr>
        <w:t>p.86)</w:t>
      </w:r>
    </w:p>
    <w:p>
      <w:pPr>
        <w:spacing w:after="0" w:line="240" w:lineRule="auto"/>
        <w:jc w:val="both"/>
        <w:rPr>
          <w:sz w:val="20"/>
        </w:rPr>
        <w:sectPr>
          <w:pgSz w:w="11900" w:h="16840"/>
          <w:pgMar w:top="1600" w:bottom="280" w:left="1400" w:right="540"/>
        </w:sectPr>
      </w:pPr>
    </w:p>
    <w:p>
      <w:pPr>
        <w:pStyle w:val="BodyText"/>
        <w:spacing w:line="360" w:lineRule="auto" w:before="96"/>
        <w:ind w:left="301" w:right="582" w:firstLine="708"/>
        <w:jc w:val="both"/>
      </w:pPr>
      <w:r>
        <w:rPr/>
        <w:t>Abaixo veremos o tratamento dado ao racismo pelas legislações brasileiras, bem como o racismo em números.</w:t>
      </w:r>
    </w:p>
    <w:p>
      <w:pPr>
        <w:pStyle w:val="BodyText"/>
        <w:rPr>
          <w:sz w:val="26"/>
        </w:rPr>
      </w:pPr>
    </w:p>
    <w:p>
      <w:pPr>
        <w:pStyle w:val="BodyText"/>
        <w:rPr>
          <w:sz w:val="26"/>
        </w:rPr>
      </w:pPr>
    </w:p>
    <w:p>
      <w:pPr>
        <w:pStyle w:val="Heading1"/>
        <w:numPr>
          <w:ilvl w:val="1"/>
          <w:numId w:val="1"/>
        </w:numPr>
        <w:tabs>
          <w:tab w:pos="662" w:val="left" w:leader="none"/>
        </w:tabs>
        <w:spacing w:line="240" w:lineRule="auto" w:before="232" w:after="0"/>
        <w:ind w:left="661" w:right="0" w:hanging="361"/>
        <w:jc w:val="left"/>
      </w:pPr>
      <w:r>
        <w:rPr/>
        <w:t>Formas de discriminação</w:t>
      </w:r>
      <w:r>
        <w:rPr>
          <w:spacing w:val="-2"/>
        </w:rPr>
        <w:t> </w:t>
      </w:r>
      <w:r>
        <w:rPr/>
        <w:t>racial</w:t>
      </w:r>
    </w:p>
    <w:p>
      <w:pPr>
        <w:pStyle w:val="BodyText"/>
        <w:rPr>
          <w:b/>
          <w:sz w:val="26"/>
        </w:rPr>
      </w:pPr>
    </w:p>
    <w:p>
      <w:pPr>
        <w:pStyle w:val="BodyText"/>
        <w:spacing w:before="7"/>
        <w:rPr>
          <w:b/>
          <w:sz w:val="21"/>
        </w:rPr>
      </w:pPr>
    </w:p>
    <w:p>
      <w:pPr>
        <w:pStyle w:val="BodyText"/>
        <w:spacing w:line="360" w:lineRule="auto"/>
        <w:ind w:left="301" w:right="584" w:firstLine="708"/>
        <w:jc w:val="both"/>
      </w:pPr>
      <w:r>
        <w:rPr/>
        <w:t>O racismo se apresenta nas mais diversas formas: na educação, cultura, trabalho, etc. Por isso a discriminação deve ser analisada sob vários aspectos: socioeconômicos, antropológicos, culturais e psicológicos; para que se formulem políticas para sua eliminação.</w:t>
      </w:r>
    </w:p>
    <w:p>
      <w:pPr>
        <w:pStyle w:val="BodyText"/>
        <w:rPr>
          <w:sz w:val="26"/>
        </w:rPr>
      </w:pPr>
    </w:p>
    <w:p>
      <w:pPr>
        <w:pStyle w:val="BodyText"/>
        <w:rPr>
          <w:sz w:val="26"/>
        </w:rPr>
      </w:pPr>
    </w:p>
    <w:p>
      <w:pPr>
        <w:pStyle w:val="Heading1"/>
        <w:numPr>
          <w:ilvl w:val="2"/>
          <w:numId w:val="1"/>
        </w:numPr>
        <w:tabs>
          <w:tab w:pos="842" w:val="left" w:leader="none"/>
        </w:tabs>
        <w:spacing w:line="240" w:lineRule="auto" w:before="234" w:after="0"/>
        <w:ind w:left="841" w:right="0" w:hanging="541"/>
        <w:jc w:val="left"/>
      </w:pPr>
      <w:r>
        <w:rPr/>
        <w:t>Discriminação na</w:t>
      </w:r>
      <w:r>
        <w:rPr>
          <w:spacing w:val="-1"/>
        </w:rPr>
        <w:t> </w:t>
      </w:r>
      <w:r>
        <w:rPr/>
        <w:t>educação</w:t>
      </w:r>
    </w:p>
    <w:p>
      <w:pPr>
        <w:pStyle w:val="BodyText"/>
        <w:rPr>
          <w:b/>
          <w:sz w:val="26"/>
        </w:rPr>
      </w:pPr>
    </w:p>
    <w:p>
      <w:pPr>
        <w:pStyle w:val="BodyText"/>
        <w:spacing w:before="4"/>
        <w:rPr>
          <w:b/>
          <w:sz w:val="21"/>
        </w:rPr>
      </w:pPr>
    </w:p>
    <w:p>
      <w:pPr>
        <w:pStyle w:val="BodyText"/>
        <w:spacing w:line="360" w:lineRule="auto"/>
        <w:ind w:left="301" w:right="583" w:firstLine="707"/>
        <w:jc w:val="both"/>
      </w:pPr>
      <w:r>
        <w:rPr/>
        <w:t>A discriminação na educação se apresenta sob vários aspectos: a inacessibilidade dos negros à educação de qualidade; o racismo praticado pelos colegas e professores; a forma de se tratar a história do Brasil omitindo a participação do negro nas modificações do País, entre outras. Sobre a discriminação nas escolas escreve Guimarães:</w:t>
      </w:r>
    </w:p>
    <w:p>
      <w:pPr>
        <w:tabs>
          <w:tab w:pos="5199" w:val="left" w:leader="none"/>
          <w:tab w:pos="6303" w:val="left" w:leader="none"/>
          <w:tab w:pos="7830" w:val="left" w:leader="none"/>
          <w:tab w:pos="8783" w:val="left" w:leader="none"/>
        </w:tabs>
        <w:spacing w:before="0"/>
        <w:ind w:left="2569" w:right="580" w:firstLine="0"/>
        <w:jc w:val="both"/>
        <w:rPr>
          <w:sz w:val="20"/>
        </w:rPr>
      </w:pPr>
      <w:r>
        <w:rPr>
          <w:i/>
          <w:sz w:val="20"/>
        </w:rPr>
        <w:t>“Não há como negar que o modelo eurocêntrico calcado em valores e interesses </w:t>
      </w:r>
      <w:r>
        <w:rPr>
          <w:i/>
          <w:sz w:val="20"/>
        </w:rPr>
        <w:t>hegemônicos tem marginalizado e relegado outros saberes e, especificamente, o saber africano e afro-brasileiro para além do status de cientificidade e que isso reforça a distância do aluno afro-descendente das suas raízes, acentuando sua evasão e repetência e, por que não dizer, sua excludência da escola.”(</w:t>
      </w:r>
      <w:r>
        <w:rPr>
          <w:sz w:val="20"/>
        </w:rPr>
        <w:t>GUIMARÃES,</w:t>
        <w:tab/>
        <w:t>2003,</w:t>
        <w:tab/>
        <w:t>Disponível</w:t>
        <w:tab/>
        <w:t>em:</w:t>
        <w:tab/>
        <w:t>&lt;http:// </w:t>
      </w:r>
      <w:hyperlink r:id="rId7">
        <w:r>
          <w:rPr>
            <w:color w:val="0000FF"/>
            <w:sz w:val="20"/>
            <w:u w:val="single" w:color="0000FF"/>
          </w:rPr>
          <w:t>www.anped.org.br/24/T03410943430938.doc</w:t>
        </w:r>
      </w:hyperlink>
      <w:r>
        <w:rPr>
          <w:sz w:val="20"/>
        </w:rPr>
        <w:t>&gt;)</w:t>
      </w:r>
    </w:p>
    <w:p>
      <w:pPr>
        <w:pStyle w:val="BodyText"/>
        <w:spacing w:before="10"/>
        <w:rPr>
          <w:sz w:val="29"/>
        </w:rPr>
      </w:pPr>
    </w:p>
    <w:p>
      <w:pPr>
        <w:pStyle w:val="BodyText"/>
        <w:spacing w:line="360" w:lineRule="auto"/>
        <w:ind w:left="301" w:right="583" w:firstLine="708"/>
        <w:jc w:val="both"/>
      </w:pPr>
      <w:r>
        <w:rPr/>
        <w:t>A discriminação racial na educação é apresentada em números pelo IBGE, permitindo a observação da proporção da desigualdade na educação no nosso País, o que não deixa dúvida acerca das diversidades raciais</w:t>
      </w:r>
      <w:r>
        <w:rPr>
          <w:spacing w:val="-3"/>
        </w:rPr>
        <w:t> </w:t>
      </w:r>
      <w:r>
        <w:rPr/>
        <w:t>existentes:</w:t>
      </w:r>
    </w:p>
    <w:p>
      <w:pPr>
        <w:pStyle w:val="BodyText"/>
        <w:spacing w:before="2"/>
        <w:rPr>
          <w:sz w:val="36"/>
        </w:rPr>
      </w:pPr>
    </w:p>
    <w:p>
      <w:pPr>
        <w:spacing w:before="0"/>
        <w:ind w:left="301" w:right="0" w:firstLine="0"/>
        <w:jc w:val="left"/>
        <w:rPr>
          <w:b/>
          <w:sz w:val="20"/>
        </w:rPr>
      </w:pPr>
      <w:r>
        <w:rPr>
          <w:b/>
          <w:sz w:val="20"/>
        </w:rPr>
        <w:t>Tabela 1 - Proporção de pessoas de 25 anos ou mais de idade de 15 a 17 anos de estudos por cor ou raça e Unidades da Federação – 2001</w:t>
      </w:r>
    </w:p>
    <w:tbl>
      <w:tblPr>
        <w:tblW w:w="0" w:type="auto"/>
        <w:jc w:val="left"/>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44"/>
        <w:gridCol w:w="2244"/>
        <w:gridCol w:w="2244"/>
        <w:gridCol w:w="2244"/>
      </w:tblGrid>
      <w:tr>
        <w:trPr>
          <w:trHeight w:val="827" w:hRule="atLeast"/>
        </w:trPr>
        <w:tc>
          <w:tcPr>
            <w:tcW w:w="2244" w:type="dxa"/>
          </w:tcPr>
          <w:p>
            <w:pPr>
              <w:pStyle w:val="TableParagraph"/>
              <w:tabs>
                <w:tab w:pos="1922" w:val="left" w:leader="none"/>
              </w:tabs>
              <w:spacing w:line="275" w:lineRule="exact"/>
              <w:rPr>
                <w:b/>
                <w:sz w:val="24"/>
              </w:rPr>
            </w:pPr>
            <w:r>
              <w:rPr>
                <w:b/>
                <w:sz w:val="24"/>
              </w:rPr>
              <w:t>Unidades</w:t>
              <w:tab/>
              <w:t>da</w:t>
            </w:r>
          </w:p>
          <w:p>
            <w:pPr>
              <w:pStyle w:val="TableParagraph"/>
              <w:spacing w:line="240" w:lineRule="auto" w:before="139"/>
              <w:rPr>
                <w:b/>
                <w:sz w:val="24"/>
              </w:rPr>
            </w:pPr>
            <w:r>
              <w:rPr>
                <w:b/>
                <w:sz w:val="24"/>
              </w:rPr>
              <w:t>Federação</w:t>
            </w:r>
          </w:p>
        </w:tc>
        <w:tc>
          <w:tcPr>
            <w:tcW w:w="2244" w:type="dxa"/>
          </w:tcPr>
          <w:p>
            <w:pPr>
              <w:pStyle w:val="TableParagraph"/>
              <w:spacing w:line="275" w:lineRule="exact"/>
              <w:rPr>
                <w:b/>
                <w:sz w:val="24"/>
              </w:rPr>
            </w:pPr>
            <w:r>
              <w:rPr>
                <w:b/>
                <w:sz w:val="24"/>
              </w:rPr>
              <w:t>População Total</w:t>
            </w:r>
          </w:p>
        </w:tc>
        <w:tc>
          <w:tcPr>
            <w:tcW w:w="2244" w:type="dxa"/>
          </w:tcPr>
          <w:p>
            <w:pPr>
              <w:pStyle w:val="TableParagraph"/>
              <w:spacing w:line="275" w:lineRule="exact"/>
              <w:rPr>
                <w:b/>
                <w:sz w:val="24"/>
              </w:rPr>
            </w:pPr>
            <w:r>
              <w:rPr>
                <w:b/>
                <w:sz w:val="24"/>
              </w:rPr>
              <w:t>População Branca</w:t>
            </w:r>
          </w:p>
        </w:tc>
        <w:tc>
          <w:tcPr>
            <w:tcW w:w="2244" w:type="dxa"/>
          </w:tcPr>
          <w:p>
            <w:pPr>
              <w:pStyle w:val="TableParagraph"/>
              <w:tabs>
                <w:tab w:pos="1612" w:val="left" w:leader="none"/>
              </w:tabs>
              <w:spacing w:line="275" w:lineRule="exact"/>
              <w:rPr>
                <w:b/>
                <w:sz w:val="24"/>
              </w:rPr>
            </w:pPr>
            <w:r>
              <w:rPr>
                <w:b/>
                <w:sz w:val="24"/>
              </w:rPr>
              <w:t>População</w:t>
              <w:tab/>
              <w:t>Afro-</w:t>
            </w:r>
          </w:p>
          <w:p>
            <w:pPr>
              <w:pStyle w:val="TableParagraph"/>
              <w:spacing w:line="240" w:lineRule="auto" w:before="139"/>
              <w:rPr>
                <w:b/>
                <w:sz w:val="24"/>
              </w:rPr>
            </w:pPr>
            <w:r>
              <w:rPr>
                <w:b/>
                <w:sz w:val="24"/>
              </w:rPr>
              <w:t>descendente</w:t>
            </w:r>
          </w:p>
        </w:tc>
      </w:tr>
      <w:tr>
        <w:trPr>
          <w:trHeight w:val="414" w:hRule="atLeast"/>
        </w:trPr>
        <w:tc>
          <w:tcPr>
            <w:tcW w:w="2244" w:type="dxa"/>
          </w:tcPr>
          <w:p>
            <w:pPr>
              <w:pStyle w:val="TableParagraph"/>
              <w:spacing w:line="275" w:lineRule="exact"/>
              <w:rPr>
                <w:b/>
                <w:sz w:val="24"/>
              </w:rPr>
            </w:pPr>
            <w:r>
              <w:rPr>
                <w:b/>
                <w:sz w:val="24"/>
              </w:rPr>
              <w:t>Brasil</w:t>
            </w:r>
          </w:p>
        </w:tc>
        <w:tc>
          <w:tcPr>
            <w:tcW w:w="2244" w:type="dxa"/>
          </w:tcPr>
          <w:p>
            <w:pPr>
              <w:pStyle w:val="TableParagraph"/>
              <w:spacing w:line="275" w:lineRule="exact"/>
              <w:rPr>
                <w:b/>
                <w:sz w:val="24"/>
              </w:rPr>
            </w:pPr>
            <w:r>
              <w:rPr>
                <w:b/>
                <w:sz w:val="24"/>
              </w:rPr>
              <w:t>7,7</w:t>
            </w:r>
          </w:p>
        </w:tc>
        <w:tc>
          <w:tcPr>
            <w:tcW w:w="2244" w:type="dxa"/>
          </w:tcPr>
          <w:p>
            <w:pPr>
              <w:pStyle w:val="TableParagraph"/>
              <w:spacing w:line="275" w:lineRule="exact"/>
              <w:rPr>
                <w:b/>
                <w:sz w:val="24"/>
              </w:rPr>
            </w:pPr>
            <w:r>
              <w:rPr>
                <w:b/>
                <w:sz w:val="24"/>
              </w:rPr>
              <w:t>10,2</w:t>
            </w:r>
          </w:p>
        </w:tc>
        <w:tc>
          <w:tcPr>
            <w:tcW w:w="2244" w:type="dxa"/>
          </w:tcPr>
          <w:p>
            <w:pPr>
              <w:pStyle w:val="TableParagraph"/>
              <w:spacing w:line="275" w:lineRule="exact"/>
              <w:rPr>
                <w:b/>
                <w:sz w:val="24"/>
              </w:rPr>
            </w:pPr>
            <w:r>
              <w:rPr>
                <w:b/>
                <w:sz w:val="24"/>
              </w:rPr>
              <w:t>2,5</w:t>
            </w:r>
          </w:p>
        </w:tc>
      </w:tr>
      <w:tr>
        <w:trPr>
          <w:trHeight w:val="414" w:hRule="atLeast"/>
        </w:trPr>
        <w:tc>
          <w:tcPr>
            <w:tcW w:w="2244" w:type="dxa"/>
          </w:tcPr>
          <w:p>
            <w:pPr>
              <w:pStyle w:val="TableParagraph"/>
              <w:rPr>
                <w:sz w:val="24"/>
              </w:rPr>
            </w:pPr>
            <w:r>
              <w:rPr>
                <w:sz w:val="24"/>
              </w:rPr>
              <w:t>Minas Gerais</w:t>
            </w:r>
          </w:p>
        </w:tc>
        <w:tc>
          <w:tcPr>
            <w:tcW w:w="2244" w:type="dxa"/>
          </w:tcPr>
          <w:p>
            <w:pPr>
              <w:pStyle w:val="TableParagraph"/>
              <w:rPr>
                <w:sz w:val="24"/>
              </w:rPr>
            </w:pPr>
            <w:r>
              <w:rPr>
                <w:sz w:val="24"/>
              </w:rPr>
              <w:t>5,9</w:t>
            </w:r>
          </w:p>
        </w:tc>
        <w:tc>
          <w:tcPr>
            <w:tcW w:w="2244" w:type="dxa"/>
          </w:tcPr>
          <w:p>
            <w:pPr>
              <w:pStyle w:val="TableParagraph"/>
              <w:rPr>
                <w:sz w:val="24"/>
              </w:rPr>
            </w:pPr>
            <w:r>
              <w:rPr>
                <w:sz w:val="24"/>
              </w:rPr>
              <w:t>8,9</w:t>
            </w:r>
          </w:p>
        </w:tc>
        <w:tc>
          <w:tcPr>
            <w:tcW w:w="2244" w:type="dxa"/>
          </w:tcPr>
          <w:p>
            <w:pPr>
              <w:pStyle w:val="TableParagraph"/>
              <w:rPr>
                <w:sz w:val="24"/>
              </w:rPr>
            </w:pPr>
            <w:r>
              <w:rPr>
                <w:sz w:val="24"/>
              </w:rPr>
              <w:t>2,3</w:t>
            </w:r>
          </w:p>
        </w:tc>
      </w:tr>
    </w:tbl>
    <w:p>
      <w:pPr>
        <w:spacing w:before="0"/>
        <w:ind w:left="301" w:right="0" w:firstLine="0"/>
        <w:jc w:val="left"/>
        <w:rPr>
          <w:sz w:val="20"/>
        </w:rPr>
      </w:pPr>
      <w:r>
        <w:rPr>
          <w:sz w:val="20"/>
        </w:rPr>
        <w:t>Fonte: IBGE/PNAD Microdados. Elaboração IPEA/Disco.</w:t>
      </w:r>
    </w:p>
    <w:p>
      <w:pPr>
        <w:spacing w:after="0"/>
        <w:jc w:val="left"/>
        <w:rPr>
          <w:sz w:val="20"/>
        </w:rPr>
        <w:sectPr>
          <w:pgSz w:w="11900" w:h="16840"/>
          <w:pgMar w:top="1600" w:bottom="280" w:left="1400" w:right="540"/>
        </w:sectPr>
      </w:pPr>
    </w:p>
    <w:p>
      <w:pPr>
        <w:pStyle w:val="BodyText"/>
        <w:spacing w:line="360" w:lineRule="auto" w:before="96"/>
        <w:ind w:left="301" w:right="615"/>
      </w:pPr>
      <w:r>
        <w:rPr/>
        <w:t>Notas: População afro-descendente é composta de pretos e pardos. Dados da PNAD excluem a população rural dos estados de Rondônia, Acre, Amazonas, Roraima, Pará e</w:t>
      </w:r>
      <w:r>
        <w:rPr>
          <w:spacing w:val="-7"/>
        </w:rPr>
        <w:t> </w:t>
      </w:r>
      <w:r>
        <w:rPr/>
        <w:t>Amapá</w:t>
      </w:r>
    </w:p>
    <w:p>
      <w:pPr>
        <w:pStyle w:val="BodyText"/>
        <w:spacing w:before="10"/>
        <w:rPr>
          <w:sz w:val="35"/>
        </w:rPr>
      </w:pPr>
    </w:p>
    <w:p>
      <w:pPr>
        <w:pStyle w:val="BodyText"/>
        <w:spacing w:line="360" w:lineRule="auto"/>
        <w:ind w:left="301" w:right="587" w:firstLine="708"/>
        <w:jc w:val="both"/>
      </w:pPr>
      <w:r>
        <w:rPr/>
        <w:t>Quanto ao analfabetismo, segundo dados do IBGE, o analfabetismo no Brasil é em torno de 19%, enquanto na população negra a taxa sobe para 40%.</w:t>
      </w:r>
    </w:p>
    <w:p>
      <w:pPr>
        <w:pStyle w:val="BodyText"/>
        <w:rPr>
          <w:sz w:val="26"/>
        </w:rPr>
      </w:pPr>
    </w:p>
    <w:p>
      <w:pPr>
        <w:pStyle w:val="BodyText"/>
        <w:rPr>
          <w:sz w:val="26"/>
        </w:rPr>
      </w:pPr>
    </w:p>
    <w:p>
      <w:pPr>
        <w:pStyle w:val="Heading1"/>
        <w:numPr>
          <w:ilvl w:val="2"/>
          <w:numId w:val="1"/>
        </w:numPr>
        <w:tabs>
          <w:tab w:pos="842" w:val="left" w:leader="none"/>
        </w:tabs>
        <w:spacing w:line="240" w:lineRule="auto" w:before="233" w:after="0"/>
        <w:ind w:left="841" w:right="0" w:hanging="541"/>
        <w:jc w:val="left"/>
      </w:pPr>
      <w:r>
        <w:rPr/>
        <w:t>Discriminação no</w:t>
      </w:r>
      <w:r>
        <w:rPr>
          <w:spacing w:val="-1"/>
        </w:rPr>
        <w:t> </w:t>
      </w:r>
      <w:r>
        <w:rPr/>
        <w:t>Trabalho</w:t>
      </w:r>
    </w:p>
    <w:p>
      <w:pPr>
        <w:pStyle w:val="BodyText"/>
        <w:rPr>
          <w:b/>
          <w:sz w:val="26"/>
        </w:rPr>
      </w:pPr>
    </w:p>
    <w:p>
      <w:pPr>
        <w:pStyle w:val="BodyText"/>
        <w:spacing w:before="6"/>
        <w:rPr>
          <w:b/>
          <w:sz w:val="21"/>
        </w:rPr>
      </w:pPr>
    </w:p>
    <w:p>
      <w:pPr>
        <w:pStyle w:val="BodyText"/>
        <w:spacing w:line="360" w:lineRule="auto"/>
        <w:ind w:left="301" w:right="520" w:firstLine="708"/>
        <w:jc w:val="both"/>
      </w:pPr>
      <w:r>
        <w:rPr/>
        <w:t>No trabalho, o racismo também assume diversas formas: a inacessibilidade a empregos; a inacessibilidade a cargos de chefia, conseqüentemente a manutenção dos negros em funções subalternas; as diferenças salariais, o que, segundo Santos (2001), seriam as discriminações ocupacional e salarial.</w:t>
      </w:r>
    </w:p>
    <w:p>
      <w:pPr>
        <w:pStyle w:val="BodyText"/>
        <w:spacing w:line="360" w:lineRule="auto"/>
        <w:ind w:left="301" w:right="584" w:firstLine="707"/>
        <w:jc w:val="both"/>
      </w:pPr>
      <w:r>
        <w:rPr/>
        <w:t>No trabalho ainda há uma forma encontrada pelos empregadores de velar a discriminação racial apresentada com o uso do termo “boa aparência” como forma de seleção de empregados, o que, para o referido autor, seria uma discriminação em razão da imagem. Observa-se que na grande maioria dos casos o termo “boa aparência” se refere, pelas escolhas finais, a pessoas da cor branca – ou seja, segundo essas pessoas, “os negros não teriam a boa aparência desejada”.</w:t>
      </w:r>
    </w:p>
    <w:p>
      <w:pPr>
        <w:pStyle w:val="BodyText"/>
        <w:spacing w:line="360" w:lineRule="auto"/>
        <w:ind w:left="301" w:right="585" w:firstLine="708"/>
        <w:jc w:val="both"/>
      </w:pPr>
      <w:r>
        <w:rPr/>
        <w:t>Verificando os números, analisamos a desproporção entre a população branca de empregados domésticos e a negra, bem como, entre a população branca que é empregadora comparada com a negra, não nos é possível inferir que existe igualdade racial no Brasil.</w:t>
      </w:r>
    </w:p>
    <w:p>
      <w:pPr>
        <w:pStyle w:val="BodyText"/>
        <w:spacing w:before="10"/>
        <w:rPr>
          <w:sz w:val="29"/>
        </w:rPr>
      </w:pPr>
    </w:p>
    <w:p>
      <w:pPr>
        <w:spacing w:before="1" w:after="3"/>
        <w:ind w:left="301" w:right="615" w:firstLine="0"/>
        <w:jc w:val="left"/>
        <w:rPr>
          <w:b/>
          <w:sz w:val="20"/>
        </w:rPr>
      </w:pPr>
      <w:r>
        <w:rPr>
          <w:b/>
          <w:sz w:val="20"/>
        </w:rPr>
        <w:t>Tabela 2 - Distribuição percentual da população ocupada de 25 anos ou mais de idade por posição na ocupação segundo a cor ou raça – Brasil - 2001</w:t>
      </w: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40"/>
        <w:gridCol w:w="1980"/>
        <w:gridCol w:w="2160"/>
        <w:gridCol w:w="3240"/>
      </w:tblGrid>
      <w:tr>
        <w:trPr>
          <w:trHeight w:val="436" w:hRule="atLeast"/>
        </w:trPr>
        <w:tc>
          <w:tcPr>
            <w:tcW w:w="2340" w:type="dxa"/>
          </w:tcPr>
          <w:p>
            <w:pPr>
              <w:pStyle w:val="TableParagraph"/>
              <w:spacing w:line="275" w:lineRule="exact"/>
              <w:rPr>
                <w:b/>
                <w:sz w:val="24"/>
              </w:rPr>
            </w:pPr>
            <w:r>
              <w:rPr>
                <w:b/>
                <w:sz w:val="24"/>
              </w:rPr>
              <w:t>Posição na Ocupação</w:t>
            </w:r>
          </w:p>
        </w:tc>
        <w:tc>
          <w:tcPr>
            <w:tcW w:w="1980" w:type="dxa"/>
          </w:tcPr>
          <w:p>
            <w:pPr>
              <w:pStyle w:val="TableParagraph"/>
              <w:spacing w:line="275" w:lineRule="exact"/>
              <w:rPr>
                <w:b/>
                <w:sz w:val="24"/>
              </w:rPr>
            </w:pPr>
            <w:r>
              <w:rPr>
                <w:b/>
                <w:sz w:val="24"/>
              </w:rPr>
              <w:t>População Total</w:t>
            </w:r>
          </w:p>
        </w:tc>
        <w:tc>
          <w:tcPr>
            <w:tcW w:w="2160" w:type="dxa"/>
          </w:tcPr>
          <w:p>
            <w:pPr>
              <w:pStyle w:val="TableParagraph"/>
              <w:spacing w:line="275" w:lineRule="exact"/>
              <w:rPr>
                <w:b/>
                <w:sz w:val="24"/>
              </w:rPr>
            </w:pPr>
            <w:r>
              <w:rPr>
                <w:b/>
                <w:sz w:val="24"/>
              </w:rPr>
              <w:t>População Branca</w:t>
            </w:r>
          </w:p>
        </w:tc>
        <w:tc>
          <w:tcPr>
            <w:tcW w:w="3240" w:type="dxa"/>
          </w:tcPr>
          <w:p>
            <w:pPr>
              <w:pStyle w:val="TableParagraph"/>
              <w:spacing w:line="275" w:lineRule="exact"/>
              <w:rPr>
                <w:b/>
                <w:sz w:val="24"/>
              </w:rPr>
            </w:pPr>
            <w:r>
              <w:rPr>
                <w:b/>
                <w:sz w:val="24"/>
              </w:rPr>
              <w:t>População Afro-descendente</w:t>
            </w:r>
          </w:p>
        </w:tc>
      </w:tr>
      <w:tr>
        <w:trPr>
          <w:trHeight w:val="414" w:hRule="atLeast"/>
        </w:trPr>
        <w:tc>
          <w:tcPr>
            <w:tcW w:w="2340" w:type="dxa"/>
          </w:tcPr>
          <w:p>
            <w:pPr>
              <w:pStyle w:val="TableParagraph"/>
              <w:spacing w:line="275" w:lineRule="exact"/>
              <w:rPr>
                <w:b/>
                <w:sz w:val="24"/>
              </w:rPr>
            </w:pPr>
            <w:r>
              <w:rPr>
                <w:b/>
                <w:sz w:val="24"/>
              </w:rPr>
              <w:t>Total</w:t>
            </w:r>
          </w:p>
        </w:tc>
        <w:tc>
          <w:tcPr>
            <w:tcW w:w="1980" w:type="dxa"/>
          </w:tcPr>
          <w:p>
            <w:pPr>
              <w:pStyle w:val="TableParagraph"/>
              <w:spacing w:line="275" w:lineRule="exact"/>
              <w:rPr>
                <w:b/>
                <w:sz w:val="24"/>
              </w:rPr>
            </w:pPr>
            <w:r>
              <w:rPr>
                <w:b/>
                <w:sz w:val="24"/>
              </w:rPr>
              <w:t>100</w:t>
            </w:r>
          </w:p>
        </w:tc>
        <w:tc>
          <w:tcPr>
            <w:tcW w:w="2160" w:type="dxa"/>
          </w:tcPr>
          <w:p>
            <w:pPr>
              <w:pStyle w:val="TableParagraph"/>
              <w:spacing w:line="275" w:lineRule="exact"/>
              <w:rPr>
                <w:b/>
                <w:sz w:val="24"/>
              </w:rPr>
            </w:pPr>
            <w:r>
              <w:rPr>
                <w:b/>
                <w:sz w:val="24"/>
              </w:rPr>
              <w:t>100</w:t>
            </w:r>
          </w:p>
        </w:tc>
        <w:tc>
          <w:tcPr>
            <w:tcW w:w="3240" w:type="dxa"/>
          </w:tcPr>
          <w:p>
            <w:pPr>
              <w:pStyle w:val="TableParagraph"/>
              <w:spacing w:line="275" w:lineRule="exact"/>
              <w:rPr>
                <w:b/>
                <w:sz w:val="24"/>
              </w:rPr>
            </w:pPr>
            <w:r>
              <w:rPr>
                <w:b/>
                <w:sz w:val="24"/>
              </w:rPr>
              <w:t>100</w:t>
            </w:r>
          </w:p>
        </w:tc>
      </w:tr>
      <w:tr>
        <w:trPr>
          <w:trHeight w:val="412" w:hRule="atLeast"/>
        </w:trPr>
        <w:tc>
          <w:tcPr>
            <w:tcW w:w="2340" w:type="dxa"/>
          </w:tcPr>
          <w:p>
            <w:pPr>
              <w:pStyle w:val="TableParagraph"/>
              <w:rPr>
                <w:sz w:val="24"/>
              </w:rPr>
            </w:pPr>
            <w:r>
              <w:rPr>
                <w:sz w:val="24"/>
              </w:rPr>
              <w:t>Funcionário Público</w:t>
            </w:r>
          </w:p>
        </w:tc>
        <w:tc>
          <w:tcPr>
            <w:tcW w:w="1980" w:type="dxa"/>
          </w:tcPr>
          <w:p>
            <w:pPr>
              <w:pStyle w:val="TableParagraph"/>
              <w:rPr>
                <w:sz w:val="24"/>
              </w:rPr>
            </w:pPr>
            <w:r>
              <w:rPr>
                <w:sz w:val="24"/>
              </w:rPr>
              <w:t>8,0</w:t>
            </w:r>
          </w:p>
        </w:tc>
        <w:tc>
          <w:tcPr>
            <w:tcW w:w="2160" w:type="dxa"/>
          </w:tcPr>
          <w:p>
            <w:pPr>
              <w:pStyle w:val="TableParagraph"/>
              <w:rPr>
                <w:sz w:val="24"/>
              </w:rPr>
            </w:pPr>
            <w:r>
              <w:rPr>
                <w:sz w:val="24"/>
              </w:rPr>
              <w:t>8,8</w:t>
            </w:r>
          </w:p>
        </w:tc>
        <w:tc>
          <w:tcPr>
            <w:tcW w:w="3240" w:type="dxa"/>
          </w:tcPr>
          <w:p>
            <w:pPr>
              <w:pStyle w:val="TableParagraph"/>
              <w:rPr>
                <w:sz w:val="24"/>
              </w:rPr>
            </w:pPr>
            <w:r>
              <w:rPr>
                <w:sz w:val="24"/>
              </w:rPr>
              <w:t>6,8</w:t>
            </w:r>
          </w:p>
        </w:tc>
      </w:tr>
      <w:tr>
        <w:trPr>
          <w:trHeight w:val="414" w:hRule="atLeast"/>
        </w:trPr>
        <w:tc>
          <w:tcPr>
            <w:tcW w:w="2340" w:type="dxa"/>
          </w:tcPr>
          <w:p>
            <w:pPr>
              <w:pStyle w:val="TableParagraph"/>
              <w:rPr>
                <w:sz w:val="24"/>
              </w:rPr>
            </w:pPr>
            <w:r>
              <w:rPr>
                <w:sz w:val="24"/>
              </w:rPr>
              <w:t>Com carteira</w:t>
            </w:r>
          </w:p>
        </w:tc>
        <w:tc>
          <w:tcPr>
            <w:tcW w:w="1980" w:type="dxa"/>
          </w:tcPr>
          <w:p>
            <w:pPr>
              <w:pStyle w:val="TableParagraph"/>
              <w:rPr>
                <w:sz w:val="24"/>
              </w:rPr>
            </w:pPr>
            <w:r>
              <w:rPr>
                <w:sz w:val="24"/>
              </w:rPr>
              <w:t>29,6</w:t>
            </w:r>
          </w:p>
        </w:tc>
        <w:tc>
          <w:tcPr>
            <w:tcW w:w="2160" w:type="dxa"/>
          </w:tcPr>
          <w:p>
            <w:pPr>
              <w:pStyle w:val="TableParagraph"/>
              <w:rPr>
                <w:sz w:val="24"/>
              </w:rPr>
            </w:pPr>
            <w:r>
              <w:rPr>
                <w:sz w:val="24"/>
              </w:rPr>
              <w:t>32,3</w:t>
            </w:r>
          </w:p>
        </w:tc>
        <w:tc>
          <w:tcPr>
            <w:tcW w:w="3240" w:type="dxa"/>
          </w:tcPr>
          <w:p>
            <w:pPr>
              <w:pStyle w:val="TableParagraph"/>
              <w:rPr>
                <w:sz w:val="24"/>
              </w:rPr>
            </w:pPr>
            <w:r>
              <w:rPr>
                <w:sz w:val="24"/>
              </w:rPr>
              <w:t>26,3</w:t>
            </w:r>
          </w:p>
        </w:tc>
      </w:tr>
      <w:tr>
        <w:trPr>
          <w:trHeight w:val="412" w:hRule="atLeast"/>
        </w:trPr>
        <w:tc>
          <w:tcPr>
            <w:tcW w:w="2340" w:type="dxa"/>
          </w:tcPr>
          <w:p>
            <w:pPr>
              <w:pStyle w:val="TableParagraph"/>
              <w:rPr>
                <w:sz w:val="24"/>
              </w:rPr>
            </w:pPr>
            <w:r>
              <w:rPr>
                <w:sz w:val="24"/>
              </w:rPr>
              <w:t>Sem carteira</w:t>
            </w:r>
          </w:p>
        </w:tc>
        <w:tc>
          <w:tcPr>
            <w:tcW w:w="1980" w:type="dxa"/>
          </w:tcPr>
          <w:p>
            <w:pPr>
              <w:pStyle w:val="TableParagraph"/>
              <w:rPr>
                <w:sz w:val="24"/>
              </w:rPr>
            </w:pPr>
            <w:r>
              <w:rPr>
                <w:sz w:val="24"/>
              </w:rPr>
              <w:t>14,4</w:t>
            </w:r>
          </w:p>
        </w:tc>
        <w:tc>
          <w:tcPr>
            <w:tcW w:w="2160" w:type="dxa"/>
          </w:tcPr>
          <w:p>
            <w:pPr>
              <w:pStyle w:val="TableParagraph"/>
              <w:rPr>
                <w:sz w:val="24"/>
              </w:rPr>
            </w:pPr>
            <w:r>
              <w:rPr>
                <w:sz w:val="24"/>
              </w:rPr>
              <w:t>12,3</w:t>
            </w:r>
          </w:p>
        </w:tc>
        <w:tc>
          <w:tcPr>
            <w:tcW w:w="3240" w:type="dxa"/>
          </w:tcPr>
          <w:p>
            <w:pPr>
              <w:pStyle w:val="TableParagraph"/>
              <w:rPr>
                <w:sz w:val="24"/>
              </w:rPr>
            </w:pPr>
            <w:r>
              <w:rPr>
                <w:sz w:val="24"/>
              </w:rPr>
              <w:t>17,3</w:t>
            </w:r>
          </w:p>
        </w:tc>
      </w:tr>
      <w:tr>
        <w:trPr>
          <w:trHeight w:val="414" w:hRule="atLeast"/>
        </w:trPr>
        <w:tc>
          <w:tcPr>
            <w:tcW w:w="2340" w:type="dxa"/>
          </w:tcPr>
          <w:p>
            <w:pPr>
              <w:pStyle w:val="TableParagraph"/>
              <w:rPr>
                <w:sz w:val="24"/>
              </w:rPr>
            </w:pPr>
            <w:r>
              <w:rPr>
                <w:sz w:val="24"/>
              </w:rPr>
              <w:t>Conta própria</w:t>
            </w:r>
          </w:p>
        </w:tc>
        <w:tc>
          <w:tcPr>
            <w:tcW w:w="1980" w:type="dxa"/>
          </w:tcPr>
          <w:p>
            <w:pPr>
              <w:pStyle w:val="TableParagraph"/>
              <w:rPr>
                <w:sz w:val="24"/>
              </w:rPr>
            </w:pPr>
            <w:r>
              <w:rPr>
                <w:sz w:val="24"/>
              </w:rPr>
              <w:t>26,7</w:t>
            </w:r>
          </w:p>
        </w:tc>
        <w:tc>
          <w:tcPr>
            <w:tcW w:w="2160" w:type="dxa"/>
          </w:tcPr>
          <w:p>
            <w:pPr>
              <w:pStyle w:val="TableParagraph"/>
              <w:rPr>
                <w:sz w:val="24"/>
              </w:rPr>
            </w:pPr>
            <w:r>
              <w:rPr>
                <w:sz w:val="24"/>
              </w:rPr>
              <w:t>25,6</w:t>
            </w:r>
          </w:p>
        </w:tc>
        <w:tc>
          <w:tcPr>
            <w:tcW w:w="3240" w:type="dxa"/>
          </w:tcPr>
          <w:p>
            <w:pPr>
              <w:pStyle w:val="TableParagraph"/>
              <w:rPr>
                <w:sz w:val="24"/>
              </w:rPr>
            </w:pPr>
            <w:r>
              <w:rPr>
                <w:sz w:val="24"/>
              </w:rPr>
              <w:t>28,0</w:t>
            </w:r>
          </w:p>
        </w:tc>
      </w:tr>
      <w:tr>
        <w:trPr>
          <w:trHeight w:val="412" w:hRule="atLeast"/>
        </w:trPr>
        <w:tc>
          <w:tcPr>
            <w:tcW w:w="2340" w:type="dxa"/>
          </w:tcPr>
          <w:p>
            <w:pPr>
              <w:pStyle w:val="TableParagraph"/>
              <w:rPr>
                <w:sz w:val="24"/>
              </w:rPr>
            </w:pPr>
            <w:r>
              <w:rPr>
                <w:sz w:val="24"/>
              </w:rPr>
              <w:t>Empregador</w:t>
            </w:r>
          </w:p>
        </w:tc>
        <w:tc>
          <w:tcPr>
            <w:tcW w:w="1980" w:type="dxa"/>
          </w:tcPr>
          <w:p>
            <w:pPr>
              <w:pStyle w:val="TableParagraph"/>
              <w:rPr>
                <w:sz w:val="24"/>
              </w:rPr>
            </w:pPr>
            <w:r>
              <w:rPr>
                <w:sz w:val="24"/>
              </w:rPr>
              <w:t>5,3</w:t>
            </w:r>
          </w:p>
        </w:tc>
        <w:tc>
          <w:tcPr>
            <w:tcW w:w="2160" w:type="dxa"/>
          </w:tcPr>
          <w:p>
            <w:pPr>
              <w:pStyle w:val="TableParagraph"/>
              <w:rPr>
                <w:sz w:val="24"/>
              </w:rPr>
            </w:pPr>
            <w:r>
              <w:rPr>
                <w:sz w:val="24"/>
              </w:rPr>
              <w:t>7,1</w:t>
            </w:r>
          </w:p>
        </w:tc>
        <w:tc>
          <w:tcPr>
            <w:tcW w:w="3240" w:type="dxa"/>
          </w:tcPr>
          <w:p>
            <w:pPr>
              <w:pStyle w:val="TableParagraph"/>
              <w:rPr>
                <w:sz w:val="24"/>
              </w:rPr>
            </w:pPr>
            <w:r>
              <w:rPr>
                <w:sz w:val="24"/>
              </w:rPr>
              <w:t>2,8</w:t>
            </w:r>
          </w:p>
        </w:tc>
      </w:tr>
      <w:tr>
        <w:trPr>
          <w:trHeight w:val="414" w:hRule="atLeast"/>
        </w:trPr>
        <w:tc>
          <w:tcPr>
            <w:tcW w:w="2340" w:type="dxa"/>
          </w:tcPr>
          <w:p>
            <w:pPr>
              <w:pStyle w:val="TableParagraph"/>
              <w:rPr>
                <w:sz w:val="24"/>
              </w:rPr>
            </w:pPr>
            <w:r>
              <w:rPr>
                <w:sz w:val="24"/>
              </w:rPr>
              <w:t>Empregado doméstico</w:t>
            </w:r>
          </w:p>
        </w:tc>
        <w:tc>
          <w:tcPr>
            <w:tcW w:w="1980" w:type="dxa"/>
          </w:tcPr>
          <w:p>
            <w:pPr>
              <w:pStyle w:val="TableParagraph"/>
              <w:rPr>
                <w:sz w:val="24"/>
              </w:rPr>
            </w:pPr>
            <w:r>
              <w:rPr>
                <w:sz w:val="24"/>
              </w:rPr>
              <w:t>7,6</w:t>
            </w:r>
          </w:p>
        </w:tc>
        <w:tc>
          <w:tcPr>
            <w:tcW w:w="2160" w:type="dxa"/>
          </w:tcPr>
          <w:p>
            <w:pPr>
              <w:pStyle w:val="TableParagraph"/>
              <w:rPr>
                <w:sz w:val="24"/>
              </w:rPr>
            </w:pPr>
            <w:r>
              <w:rPr>
                <w:sz w:val="24"/>
              </w:rPr>
              <w:t>6,3</w:t>
            </w:r>
          </w:p>
        </w:tc>
        <w:tc>
          <w:tcPr>
            <w:tcW w:w="3240" w:type="dxa"/>
          </w:tcPr>
          <w:p>
            <w:pPr>
              <w:pStyle w:val="TableParagraph"/>
              <w:rPr>
                <w:sz w:val="24"/>
              </w:rPr>
            </w:pPr>
            <w:r>
              <w:rPr>
                <w:sz w:val="24"/>
              </w:rPr>
              <w:t>9,4</w:t>
            </w:r>
          </w:p>
        </w:tc>
      </w:tr>
      <w:tr>
        <w:trPr>
          <w:trHeight w:val="412" w:hRule="atLeast"/>
        </w:trPr>
        <w:tc>
          <w:tcPr>
            <w:tcW w:w="2340" w:type="dxa"/>
          </w:tcPr>
          <w:p>
            <w:pPr>
              <w:pStyle w:val="TableParagraph"/>
              <w:rPr>
                <w:sz w:val="24"/>
              </w:rPr>
            </w:pPr>
            <w:r>
              <w:rPr>
                <w:sz w:val="24"/>
              </w:rPr>
              <w:t>Outros</w:t>
            </w:r>
          </w:p>
        </w:tc>
        <w:tc>
          <w:tcPr>
            <w:tcW w:w="1980" w:type="dxa"/>
          </w:tcPr>
          <w:p>
            <w:pPr>
              <w:pStyle w:val="TableParagraph"/>
              <w:rPr>
                <w:sz w:val="24"/>
              </w:rPr>
            </w:pPr>
            <w:r>
              <w:rPr>
                <w:sz w:val="24"/>
              </w:rPr>
              <w:t>8,4</w:t>
            </w:r>
          </w:p>
        </w:tc>
        <w:tc>
          <w:tcPr>
            <w:tcW w:w="2160" w:type="dxa"/>
          </w:tcPr>
          <w:p>
            <w:pPr>
              <w:pStyle w:val="TableParagraph"/>
              <w:rPr>
                <w:sz w:val="24"/>
              </w:rPr>
            </w:pPr>
            <w:r>
              <w:rPr>
                <w:sz w:val="24"/>
              </w:rPr>
              <w:t>7,6</w:t>
            </w:r>
          </w:p>
        </w:tc>
        <w:tc>
          <w:tcPr>
            <w:tcW w:w="3240" w:type="dxa"/>
          </w:tcPr>
          <w:p>
            <w:pPr>
              <w:pStyle w:val="TableParagraph"/>
              <w:rPr>
                <w:sz w:val="24"/>
              </w:rPr>
            </w:pPr>
            <w:r>
              <w:rPr>
                <w:sz w:val="24"/>
              </w:rPr>
              <w:t>9,3</w:t>
            </w:r>
          </w:p>
        </w:tc>
      </w:tr>
    </w:tbl>
    <w:p>
      <w:pPr>
        <w:spacing w:before="0"/>
        <w:ind w:left="301" w:right="0" w:firstLine="0"/>
        <w:jc w:val="left"/>
        <w:rPr>
          <w:sz w:val="20"/>
        </w:rPr>
      </w:pPr>
      <w:r>
        <w:rPr>
          <w:sz w:val="20"/>
        </w:rPr>
        <w:t>Fonte: IBGE/PNAD – Elaboração IPEA/DISOC</w:t>
      </w:r>
    </w:p>
    <w:p>
      <w:pPr>
        <w:spacing w:after="0"/>
        <w:jc w:val="left"/>
        <w:rPr>
          <w:sz w:val="20"/>
        </w:rPr>
        <w:sectPr>
          <w:pgSz w:w="11900" w:h="16840"/>
          <w:pgMar w:top="1600" w:bottom="280" w:left="1400" w:right="540"/>
        </w:sectPr>
      </w:pPr>
    </w:p>
    <w:p>
      <w:pPr>
        <w:pStyle w:val="BodyText"/>
        <w:tabs>
          <w:tab w:pos="7131" w:val="left" w:leader="none"/>
        </w:tabs>
        <w:spacing w:line="360" w:lineRule="auto" w:before="96"/>
        <w:ind w:left="301" w:right="615"/>
      </w:pPr>
      <w:r>
        <w:rPr/>
        <w:t>Nota:</w:t>
      </w:r>
      <w:r>
        <w:rPr>
          <w:spacing w:val="39"/>
        </w:rPr>
        <w:t> </w:t>
      </w:r>
      <w:r>
        <w:rPr/>
        <w:t>População</w:t>
      </w:r>
      <w:r>
        <w:rPr>
          <w:spacing w:val="42"/>
        </w:rPr>
        <w:t> </w:t>
      </w:r>
      <w:r>
        <w:rPr/>
        <w:t>afro-descendente</w:t>
      </w:r>
      <w:r>
        <w:rPr>
          <w:spacing w:val="40"/>
        </w:rPr>
        <w:t> </w:t>
      </w:r>
      <w:r>
        <w:rPr/>
        <w:t>é</w:t>
      </w:r>
      <w:r>
        <w:rPr>
          <w:spacing w:val="38"/>
        </w:rPr>
        <w:t> </w:t>
      </w:r>
      <w:r>
        <w:rPr/>
        <w:t>composta</w:t>
      </w:r>
      <w:r>
        <w:rPr>
          <w:spacing w:val="40"/>
        </w:rPr>
        <w:t> </w:t>
      </w:r>
      <w:r>
        <w:rPr/>
        <w:t>de</w:t>
      </w:r>
      <w:r>
        <w:rPr>
          <w:spacing w:val="38"/>
        </w:rPr>
        <w:t> </w:t>
      </w:r>
      <w:r>
        <w:rPr/>
        <w:t>pretos</w:t>
      </w:r>
      <w:r>
        <w:rPr>
          <w:spacing w:val="41"/>
        </w:rPr>
        <w:t> </w:t>
      </w:r>
      <w:r>
        <w:rPr/>
        <w:t>e</w:t>
      </w:r>
      <w:r>
        <w:rPr>
          <w:spacing w:val="38"/>
        </w:rPr>
        <w:t> </w:t>
      </w:r>
      <w:r>
        <w:rPr/>
        <w:t>pardos.</w:t>
        <w:tab/>
        <w:t>Exclusive a </w:t>
      </w:r>
      <w:r>
        <w:rPr>
          <w:spacing w:val="-3"/>
        </w:rPr>
        <w:t>população </w:t>
      </w:r>
      <w:r>
        <w:rPr/>
        <w:t>rural dos Estados de Rondônia, Acre, Amazonas, Roraima, Pará e</w:t>
      </w:r>
      <w:r>
        <w:rPr>
          <w:spacing w:val="-4"/>
        </w:rPr>
        <w:t> </w:t>
      </w:r>
      <w:r>
        <w:rPr/>
        <w:t>Amapá.</w:t>
      </w:r>
    </w:p>
    <w:p>
      <w:pPr>
        <w:pStyle w:val="BodyText"/>
        <w:spacing w:before="10"/>
        <w:rPr>
          <w:sz w:val="35"/>
        </w:rPr>
      </w:pPr>
    </w:p>
    <w:p>
      <w:pPr>
        <w:pStyle w:val="BodyText"/>
        <w:spacing w:line="360" w:lineRule="auto"/>
        <w:ind w:left="301" w:right="585" w:firstLine="708"/>
        <w:jc w:val="both"/>
      </w:pPr>
      <w:r>
        <w:rPr/>
        <w:t>Analisando-se a ocupação dos trabalhadores brasileiros comparativa por raças, a discriminação também se apresenta, como acima descrevemos. A questão da “boa aparência”, pode ser comprovada ao observarmos os trabalhadores do comércio, aqui entendidos como vendedores, atendentes, etc., há grande desproporção entre as</w:t>
      </w:r>
      <w:r>
        <w:rPr>
          <w:spacing w:val="-2"/>
        </w:rPr>
        <w:t> </w:t>
      </w:r>
      <w:r>
        <w:rPr/>
        <w:t>populações.</w:t>
      </w:r>
    </w:p>
    <w:p>
      <w:pPr>
        <w:pStyle w:val="BodyText"/>
        <w:spacing w:before="3"/>
        <w:rPr>
          <w:sz w:val="36"/>
        </w:rPr>
      </w:pPr>
    </w:p>
    <w:p>
      <w:pPr>
        <w:spacing w:before="0"/>
        <w:ind w:left="301" w:right="615" w:firstLine="0"/>
        <w:jc w:val="left"/>
        <w:rPr>
          <w:b/>
          <w:sz w:val="20"/>
        </w:rPr>
      </w:pPr>
      <w:r>
        <w:rPr>
          <w:b/>
          <w:sz w:val="20"/>
        </w:rPr>
        <w:t>Tabela 3 - Distribuição percentual da população ocupada de 25 anos ou mais de idade por cor ou raça segundo o setor de atividade - 2001</w:t>
      </w:r>
    </w:p>
    <w:tbl>
      <w:tblPr>
        <w:tblW w:w="0" w:type="auto"/>
        <w:jc w:val="left"/>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44"/>
        <w:gridCol w:w="2244"/>
        <w:gridCol w:w="2244"/>
        <w:gridCol w:w="2244"/>
      </w:tblGrid>
      <w:tr>
        <w:trPr>
          <w:trHeight w:val="827" w:hRule="atLeast"/>
        </w:trPr>
        <w:tc>
          <w:tcPr>
            <w:tcW w:w="2244" w:type="dxa"/>
          </w:tcPr>
          <w:p>
            <w:pPr>
              <w:pStyle w:val="TableParagraph"/>
              <w:tabs>
                <w:tab w:pos="1931" w:val="left" w:leader="none"/>
              </w:tabs>
              <w:spacing w:line="275" w:lineRule="exact"/>
              <w:rPr>
                <w:b/>
                <w:sz w:val="24"/>
              </w:rPr>
            </w:pPr>
            <w:r>
              <w:rPr>
                <w:b/>
                <w:sz w:val="24"/>
              </w:rPr>
              <w:t>Setores</w:t>
              <w:tab/>
              <w:t>de</w:t>
            </w:r>
          </w:p>
          <w:p>
            <w:pPr>
              <w:pStyle w:val="TableParagraph"/>
              <w:spacing w:line="240" w:lineRule="auto" w:before="137"/>
              <w:rPr>
                <w:b/>
                <w:sz w:val="24"/>
              </w:rPr>
            </w:pPr>
            <w:r>
              <w:rPr>
                <w:b/>
                <w:sz w:val="24"/>
              </w:rPr>
              <w:t>Atividade</w:t>
            </w:r>
          </w:p>
        </w:tc>
        <w:tc>
          <w:tcPr>
            <w:tcW w:w="2244" w:type="dxa"/>
          </w:tcPr>
          <w:p>
            <w:pPr>
              <w:pStyle w:val="TableParagraph"/>
              <w:spacing w:line="275" w:lineRule="exact"/>
              <w:rPr>
                <w:b/>
                <w:sz w:val="24"/>
              </w:rPr>
            </w:pPr>
            <w:r>
              <w:rPr>
                <w:b/>
                <w:sz w:val="24"/>
              </w:rPr>
              <w:t>População Total</w:t>
            </w:r>
          </w:p>
        </w:tc>
        <w:tc>
          <w:tcPr>
            <w:tcW w:w="2244" w:type="dxa"/>
          </w:tcPr>
          <w:p>
            <w:pPr>
              <w:pStyle w:val="TableParagraph"/>
              <w:spacing w:line="275" w:lineRule="exact"/>
              <w:rPr>
                <w:b/>
                <w:sz w:val="24"/>
              </w:rPr>
            </w:pPr>
            <w:r>
              <w:rPr>
                <w:b/>
                <w:sz w:val="24"/>
              </w:rPr>
              <w:t>População Branca</w:t>
            </w:r>
          </w:p>
        </w:tc>
        <w:tc>
          <w:tcPr>
            <w:tcW w:w="2244" w:type="dxa"/>
          </w:tcPr>
          <w:p>
            <w:pPr>
              <w:pStyle w:val="TableParagraph"/>
              <w:tabs>
                <w:tab w:pos="1612" w:val="left" w:leader="none"/>
              </w:tabs>
              <w:spacing w:line="275" w:lineRule="exact"/>
              <w:rPr>
                <w:b/>
                <w:sz w:val="24"/>
              </w:rPr>
            </w:pPr>
            <w:r>
              <w:rPr>
                <w:b/>
                <w:sz w:val="24"/>
              </w:rPr>
              <w:t>População</w:t>
              <w:tab/>
              <w:t>Afro-</w:t>
            </w:r>
          </w:p>
          <w:p>
            <w:pPr>
              <w:pStyle w:val="TableParagraph"/>
              <w:spacing w:line="240" w:lineRule="auto" w:before="137"/>
              <w:rPr>
                <w:b/>
                <w:sz w:val="24"/>
              </w:rPr>
            </w:pPr>
            <w:r>
              <w:rPr>
                <w:b/>
                <w:sz w:val="24"/>
              </w:rPr>
              <w:t>descendente</w:t>
            </w:r>
          </w:p>
        </w:tc>
      </w:tr>
      <w:tr>
        <w:trPr>
          <w:trHeight w:val="412" w:hRule="atLeast"/>
        </w:trPr>
        <w:tc>
          <w:tcPr>
            <w:tcW w:w="2244" w:type="dxa"/>
          </w:tcPr>
          <w:p>
            <w:pPr>
              <w:pStyle w:val="TableParagraph"/>
              <w:spacing w:line="275" w:lineRule="exact"/>
              <w:rPr>
                <w:b/>
                <w:sz w:val="24"/>
              </w:rPr>
            </w:pPr>
            <w:r>
              <w:rPr>
                <w:b/>
                <w:sz w:val="24"/>
              </w:rPr>
              <w:t>Total</w:t>
            </w:r>
          </w:p>
        </w:tc>
        <w:tc>
          <w:tcPr>
            <w:tcW w:w="2244" w:type="dxa"/>
          </w:tcPr>
          <w:p>
            <w:pPr>
              <w:pStyle w:val="TableParagraph"/>
              <w:spacing w:line="275" w:lineRule="exact"/>
              <w:rPr>
                <w:b/>
                <w:sz w:val="24"/>
              </w:rPr>
            </w:pPr>
            <w:r>
              <w:rPr>
                <w:b/>
                <w:sz w:val="24"/>
              </w:rPr>
              <w:t>100</w:t>
            </w:r>
          </w:p>
        </w:tc>
        <w:tc>
          <w:tcPr>
            <w:tcW w:w="2244" w:type="dxa"/>
          </w:tcPr>
          <w:p>
            <w:pPr>
              <w:pStyle w:val="TableParagraph"/>
              <w:spacing w:line="275" w:lineRule="exact"/>
              <w:rPr>
                <w:b/>
                <w:sz w:val="24"/>
              </w:rPr>
            </w:pPr>
            <w:r>
              <w:rPr>
                <w:b/>
                <w:sz w:val="24"/>
              </w:rPr>
              <w:t>100</w:t>
            </w:r>
          </w:p>
        </w:tc>
        <w:tc>
          <w:tcPr>
            <w:tcW w:w="2244" w:type="dxa"/>
          </w:tcPr>
          <w:p>
            <w:pPr>
              <w:pStyle w:val="TableParagraph"/>
              <w:spacing w:line="275" w:lineRule="exact"/>
              <w:rPr>
                <w:b/>
                <w:sz w:val="24"/>
              </w:rPr>
            </w:pPr>
            <w:r>
              <w:rPr>
                <w:b/>
                <w:sz w:val="24"/>
              </w:rPr>
              <w:t>100</w:t>
            </w:r>
          </w:p>
        </w:tc>
      </w:tr>
      <w:tr>
        <w:trPr>
          <w:trHeight w:val="827" w:hRule="atLeast"/>
        </w:trPr>
        <w:tc>
          <w:tcPr>
            <w:tcW w:w="2244" w:type="dxa"/>
          </w:tcPr>
          <w:p>
            <w:pPr>
              <w:pStyle w:val="TableParagraph"/>
              <w:tabs>
                <w:tab w:pos="1946" w:val="left" w:leader="none"/>
              </w:tabs>
              <w:rPr>
                <w:sz w:val="24"/>
              </w:rPr>
            </w:pPr>
            <w:r>
              <w:rPr>
                <w:sz w:val="24"/>
              </w:rPr>
              <w:t>Industria</w:t>
              <w:tab/>
              <w:t>de</w:t>
            </w:r>
          </w:p>
          <w:p>
            <w:pPr>
              <w:pStyle w:val="TableParagraph"/>
              <w:spacing w:line="240" w:lineRule="auto" w:before="139"/>
              <w:rPr>
                <w:sz w:val="24"/>
              </w:rPr>
            </w:pPr>
            <w:r>
              <w:rPr>
                <w:sz w:val="24"/>
              </w:rPr>
              <w:t>transformação</w:t>
            </w:r>
          </w:p>
        </w:tc>
        <w:tc>
          <w:tcPr>
            <w:tcW w:w="2244" w:type="dxa"/>
          </w:tcPr>
          <w:p>
            <w:pPr>
              <w:pStyle w:val="TableParagraph"/>
              <w:rPr>
                <w:sz w:val="24"/>
              </w:rPr>
            </w:pPr>
            <w:r>
              <w:rPr>
                <w:sz w:val="24"/>
              </w:rPr>
              <w:t>11,7</w:t>
            </w:r>
          </w:p>
        </w:tc>
        <w:tc>
          <w:tcPr>
            <w:tcW w:w="2244" w:type="dxa"/>
          </w:tcPr>
          <w:p>
            <w:pPr>
              <w:pStyle w:val="TableParagraph"/>
              <w:rPr>
                <w:sz w:val="24"/>
              </w:rPr>
            </w:pPr>
            <w:r>
              <w:rPr>
                <w:sz w:val="24"/>
              </w:rPr>
              <w:t>13,2</w:t>
            </w:r>
          </w:p>
        </w:tc>
        <w:tc>
          <w:tcPr>
            <w:tcW w:w="2244" w:type="dxa"/>
          </w:tcPr>
          <w:p>
            <w:pPr>
              <w:pStyle w:val="TableParagraph"/>
              <w:rPr>
                <w:sz w:val="24"/>
              </w:rPr>
            </w:pPr>
            <w:r>
              <w:rPr>
                <w:sz w:val="24"/>
              </w:rPr>
              <w:t>9,8</w:t>
            </w:r>
          </w:p>
        </w:tc>
      </w:tr>
      <w:tr>
        <w:trPr>
          <w:trHeight w:val="414" w:hRule="atLeast"/>
        </w:trPr>
        <w:tc>
          <w:tcPr>
            <w:tcW w:w="2244" w:type="dxa"/>
          </w:tcPr>
          <w:p>
            <w:pPr>
              <w:pStyle w:val="TableParagraph"/>
              <w:rPr>
                <w:sz w:val="24"/>
              </w:rPr>
            </w:pPr>
            <w:r>
              <w:rPr>
                <w:sz w:val="24"/>
              </w:rPr>
              <w:t>Construção civil</w:t>
            </w:r>
          </w:p>
        </w:tc>
        <w:tc>
          <w:tcPr>
            <w:tcW w:w="2244" w:type="dxa"/>
          </w:tcPr>
          <w:p>
            <w:pPr>
              <w:pStyle w:val="TableParagraph"/>
              <w:rPr>
                <w:sz w:val="24"/>
              </w:rPr>
            </w:pPr>
            <w:r>
              <w:rPr>
                <w:sz w:val="24"/>
              </w:rPr>
              <w:t>6,8</w:t>
            </w:r>
          </w:p>
        </w:tc>
        <w:tc>
          <w:tcPr>
            <w:tcW w:w="2244" w:type="dxa"/>
          </w:tcPr>
          <w:p>
            <w:pPr>
              <w:pStyle w:val="TableParagraph"/>
              <w:rPr>
                <w:sz w:val="24"/>
              </w:rPr>
            </w:pPr>
            <w:r>
              <w:rPr>
                <w:sz w:val="24"/>
              </w:rPr>
              <w:t>5,5</w:t>
            </w:r>
          </w:p>
        </w:tc>
        <w:tc>
          <w:tcPr>
            <w:tcW w:w="2244" w:type="dxa"/>
          </w:tcPr>
          <w:p>
            <w:pPr>
              <w:pStyle w:val="TableParagraph"/>
              <w:rPr>
                <w:sz w:val="24"/>
              </w:rPr>
            </w:pPr>
            <w:r>
              <w:rPr>
                <w:sz w:val="24"/>
              </w:rPr>
              <w:t>8,5</w:t>
            </w:r>
          </w:p>
        </w:tc>
      </w:tr>
      <w:tr>
        <w:trPr>
          <w:trHeight w:val="412" w:hRule="atLeast"/>
        </w:trPr>
        <w:tc>
          <w:tcPr>
            <w:tcW w:w="2244" w:type="dxa"/>
          </w:tcPr>
          <w:p>
            <w:pPr>
              <w:pStyle w:val="TableParagraph"/>
              <w:rPr>
                <w:sz w:val="24"/>
              </w:rPr>
            </w:pPr>
            <w:r>
              <w:rPr>
                <w:sz w:val="24"/>
              </w:rPr>
              <w:t>Comércio</w:t>
            </w:r>
          </w:p>
        </w:tc>
        <w:tc>
          <w:tcPr>
            <w:tcW w:w="2244" w:type="dxa"/>
          </w:tcPr>
          <w:p>
            <w:pPr>
              <w:pStyle w:val="TableParagraph"/>
              <w:rPr>
                <w:sz w:val="24"/>
              </w:rPr>
            </w:pPr>
            <w:r>
              <w:rPr>
                <w:sz w:val="24"/>
              </w:rPr>
              <w:t>13,2</w:t>
            </w:r>
          </w:p>
        </w:tc>
        <w:tc>
          <w:tcPr>
            <w:tcW w:w="2244" w:type="dxa"/>
          </w:tcPr>
          <w:p>
            <w:pPr>
              <w:pStyle w:val="TableParagraph"/>
              <w:rPr>
                <w:sz w:val="24"/>
              </w:rPr>
            </w:pPr>
            <w:r>
              <w:rPr>
                <w:sz w:val="24"/>
              </w:rPr>
              <w:t>14,4</w:t>
            </w:r>
          </w:p>
        </w:tc>
        <w:tc>
          <w:tcPr>
            <w:tcW w:w="2244" w:type="dxa"/>
          </w:tcPr>
          <w:p>
            <w:pPr>
              <w:pStyle w:val="TableParagraph"/>
              <w:rPr>
                <w:sz w:val="24"/>
              </w:rPr>
            </w:pPr>
            <w:r>
              <w:rPr>
                <w:sz w:val="24"/>
              </w:rPr>
              <w:t>11,6</w:t>
            </w:r>
          </w:p>
        </w:tc>
      </w:tr>
      <w:tr>
        <w:trPr>
          <w:trHeight w:val="827" w:hRule="atLeast"/>
        </w:trPr>
        <w:tc>
          <w:tcPr>
            <w:tcW w:w="2244" w:type="dxa"/>
          </w:tcPr>
          <w:p>
            <w:pPr>
              <w:pStyle w:val="TableParagraph"/>
              <w:rPr>
                <w:sz w:val="24"/>
              </w:rPr>
            </w:pPr>
            <w:r>
              <w:rPr>
                <w:sz w:val="24"/>
              </w:rPr>
              <w:t>Administração</w:t>
            </w:r>
          </w:p>
          <w:p>
            <w:pPr>
              <w:pStyle w:val="TableParagraph"/>
              <w:spacing w:line="240" w:lineRule="auto" w:before="139"/>
              <w:rPr>
                <w:sz w:val="24"/>
              </w:rPr>
            </w:pPr>
            <w:r>
              <w:rPr>
                <w:sz w:val="24"/>
              </w:rPr>
              <w:t>pública</w:t>
            </w:r>
          </w:p>
        </w:tc>
        <w:tc>
          <w:tcPr>
            <w:tcW w:w="2244" w:type="dxa"/>
          </w:tcPr>
          <w:p>
            <w:pPr>
              <w:pStyle w:val="TableParagraph"/>
              <w:rPr>
                <w:sz w:val="24"/>
              </w:rPr>
            </w:pPr>
            <w:r>
              <w:rPr>
                <w:sz w:val="24"/>
              </w:rPr>
              <w:t>5,4</w:t>
            </w:r>
          </w:p>
        </w:tc>
        <w:tc>
          <w:tcPr>
            <w:tcW w:w="2244" w:type="dxa"/>
          </w:tcPr>
          <w:p>
            <w:pPr>
              <w:pStyle w:val="TableParagraph"/>
              <w:rPr>
                <w:sz w:val="24"/>
              </w:rPr>
            </w:pPr>
            <w:r>
              <w:rPr>
                <w:sz w:val="24"/>
              </w:rPr>
              <w:t>5,8</w:t>
            </w:r>
          </w:p>
        </w:tc>
        <w:tc>
          <w:tcPr>
            <w:tcW w:w="2244" w:type="dxa"/>
          </w:tcPr>
          <w:p>
            <w:pPr>
              <w:pStyle w:val="TableParagraph"/>
              <w:rPr>
                <w:sz w:val="24"/>
              </w:rPr>
            </w:pPr>
            <w:r>
              <w:rPr>
                <w:sz w:val="24"/>
              </w:rPr>
              <w:t>5,0</w:t>
            </w:r>
          </w:p>
        </w:tc>
      </w:tr>
      <w:tr>
        <w:trPr>
          <w:trHeight w:val="414" w:hRule="atLeast"/>
        </w:trPr>
        <w:tc>
          <w:tcPr>
            <w:tcW w:w="2244" w:type="dxa"/>
          </w:tcPr>
          <w:p>
            <w:pPr>
              <w:pStyle w:val="TableParagraph"/>
              <w:rPr>
                <w:sz w:val="24"/>
              </w:rPr>
            </w:pPr>
            <w:r>
              <w:rPr>
                <w:sz w:val="24"/>
              </w:rPr>
              <w:t>Agropecuária</w:t>
            </w:r>
          </w:p>
        </w:tc>
        <w:tc>
          <w:tcPr>
            <w:tcW w:w="2244" w:type="dxa"/>
          </w:tcPr>
          <w:p>
            <w:pPr>
              <w:pStyle w:val="TableParagraph"/>
              <w:rPr>
                <w:sz w:val="24"/>
              </w:rPr>
            </w:pPr>
            <w:r>
              <w:rPr>
                <w:sz w:val="24"/>
              </w:rPr>
              <w:t>19,8</w:t>
            </w:r>
          </w:p>
        </w:tc>
        <w:tc>
          <w:tcPr>
            <w:tcW w:w="2244" w:type="dxa"/>
          </w:tcPr>
          <w:p>
            <w:pPr>
              <w:pStyle w:val="TableParagraph"/>
              <w:rPr>
                <w:sz w:val="24"/>
              </w:rPr>
            </w:pPr>
            <w:r>
              <w:rPr>
                <w:sz w:val="24"/>
              </w:rPr>
              <w:t>15,9</w:t>
            </w:r>
          </w:p>
        </w:tc>
        <w:tc>
          <w:tcPr>
            <w:tcW w:w="2244" w:type="dxa"/>
          </w:tcPr>
          <w:p>
            <w:pPr>
              <w:pStyle w:val="TableParagraph"/>
              <w:rPr>
                <w:sz w:val="24"/>
              </w:rPr>
            </w:pPr>
            <w:r>
              <w:rPr>
                <w:sz w:val="24"/>
              </w:rPr>
              <w:t>25,0</w:t>
            </w:r>
          </w:p>
        </w:tc>
      </w:tr>
      <w:tr>
        <w:trPr>
          <w:trHeight w:val="412" w:hRule="atLeast"/>
        </w:trPr>
        <w:tc>
          <w:tcPr>
            <w:tcW w:w="2244" w:type="dxa"/>
          </w:tcPr>
          <w:p>
            <w:pPr>
              <w:pStyle w:val="TableParagraph"/>
              <w:rPr>
                <w:sz w:val="24"/>
              </w:rPr>
            </w:pPr>
            <w:r>
              <w:rPr>
                <w:sz w:val="24"/>
              </w:rPr>
              <w:t>Serviços</w:t>
            </w:r>
          </w:p>
        </w:tc>
        <w:tc>
          <w:tcPr>
            <w:tcW w:w="2244" w:type="dxa"/>
          </w:tcPr>
          <w:p>
            <w:pPr>
              <w:pStyle w:val="TableParagraph"/>
              <w:rPr>
                <w:sz w:val="24"/>
              </w:rPr>
            </w:pPr>
            <w:r>
              <w:rPr>
                <w:sz w:val="24"/>
              </w:rPr>
              <w:t>20,3</w:t>
            </w:r>
          </w:p>
        </w:tc>
        <w:tc>
          <w:tcPr>
            <w:tcW w:w="2244" w:type="dxa"/>
          </w:tcPr>
          <w:p>
            <w:pPr>
              <w:pStyle w:val="TableParagraph"/>
              <w:rPr>
                <w:sz w:val="24"/>
              </w:rPr>
            </w:pPr>
            <w:r>
              <w:rPr>
                <w:sz w:val="24"/>
              </w:rPr>
              <w:t>19,1</w:t>
            </w:r>
          </w:p>
        </w:tc>
        <w:tc>
          <w:tcPr>
            <w:tcW w:w="2244" w:type="dxa"/>
          </w:tcPr>
          <w:p>
            <w:pPr>
              <w:pStyle w:val="TableParagraph"/>
              <w:rPr>
                <w:sz w:val="24"/>
              </w:rPr>
            </w:pPr>
            <w:r>
              <w:rPr>
                <w:sz w:val="24"/>
              </w:rPr>
              <w:t>21,8</w:t>
            </w:r>
          </w:p>
        </w:tc>
      </w:tr>
      <w:tr>
        <w:trPr>
          <w:trHeight w:val="414" w:hRule="atLeast"/>
        </w:trPr>
        <w:tc>
          <w:tcPr>
            <w:tcW w:w="2244" w:type="dxa"/>
          </w:tcPr>
          <w:p>
            <w:pPr>
              <w:pStyle w:val="TableParagraph"/>
              <w:rPr>
                <w:sz w:val="24"/>
              </w:rPr>
            </w:pPr>
            <w:r>
              <w:rPr>
                <w:sz w:val="24"/>
              </w:rPr>
              <w:t>Outros</w:t>
            </w:r>
          </w:p>
        </w:tc>
        <w:tc>
          <w:tcPr>
            <w:tcW w:w="2244" w:type="dxa"/>
          </w:tcPr>
          <w:p>
            <w:pPr>
              <w:pStyle w:val="TableParagraph"/>
              <w:rPr>
                <w:sz w:val="24"/>
              </w:rPr>
            </w:pPr>
            <w:r>
              <w:rPr>
                <w:sz w:val="24"/>
              </w:rPr>
              <w:t>22,7</w:t>
            </w:r>
          </w:p>
        </w:tc>
        <w:tc>
          <w:tcPr>
            <w:tcW w:w="2244" w:type="dxa"/>
          </w:tcPr>
          <w:p>
            <w:pPr>
              <w:pStyle w:val="TableParagraph"/>
              <w:rPr>
                <w:sz w:val="24"/>
              </w:rPr>
            </w:pPr>
            <w:r>
              <w:rPr>
                <w:sz w:val="24"/>
              </w:rPr>
              <w:t>26,1</w:t>
            </w:r>
          </w:p>
        </w:tc>
        <w:tc>
          <w:tcPr>
            <w:tcW w:w="2244" w:type="dxa"/>
          </w:tcPr>
          <w:p>
            <w:pPr>
              <w:pStyle w:val="TableParagraph"/>
              <w:rPr>
                <w:sz w:val="24"/>
              </w:rPr>
            </w:pPr>
            <w:r>
              <w:rPr>
                <w:sz w:val="24"/>
              </w:rPr>
              <w:t>18,4</w:t>
            </w:r>
          </w:p>
        </w:tc>
      </w:tr>
    </w:tbl>
    <w:p>
      <w:pPr>
        <w:spacing w:before="0"/>
        <w:ind w:left="301" w:right="0" w:firstLine="0"/>
        <w:jc w:val="left"/>
        <w:rPr>
          <w:sz w:val="20"/>
        </w:rPr>
      </w:pPr>
      <w:r>
        <w:rPr>
          <w:sz w:val="20"/>
        </w:rPr>
        <w:t>Fonte: IBGE/PNAD – Elaboração IPEA/DISOC</w:t>
      </w:r>
    </w:p>
    <w:p>
      <w:pPr>
        <w:pStyle w:val="BodyText"/>
        <w:tabs>
          <w:tab w:pos="7131" w:val="left" w:leader="none"/>
        </w:tabs>
        <w:spacing w:line="360" w:lineRule="auto" w:before="116"/>
        <w:ind w:left="301" w:right="615"/>
      </w:pPr>
      <w:r>
        <w:rPr/>
        <w:t>Nota:</w:t>
      </w:r>
      <w:r>
        <w:rPr>
          <w:spacing w:val="39"/>
        </w:rPr>
        <w:t> </w:t>
      </w:r>
      <w:r>
        <w:rPr/>
        <w:t>População</w:t>
      </w:r>
      <w:r>
        <w:rPr>
          <w:spacing w:val="42"/>
        </w:rPr>
        <w:t> </w:t>
      </w:r>
      <w:r>
        <w:rPr/>
        <w:t>afro-descendente</w:t>
      </w:r>
      <w:r>
        <w:rPr>
          <w:spacing w:val="40"/>
        </w:rPr>
        <w:t> </w:t>
      </w:r>
      <w:r>
        <w:rPr/>
        <w:t>é</w:t>
      </w:r>
      <w:r>
        <w:rPr>
          <w:spacing w:val="38"/>
        </w:rPr>
        <w:t> </w:t>
      </w:r>
      <w:r>
        <w:rPr/>
        <w:t>composta</w:t>
      </w:r>
      <w:r>
        <w:rPr>
          <w:spacing w:val="40"/>
        </w:rPr>
        <w:t> </w:t>
      </w:r>
      <w:r>
        <w:rPr/>
        <w:t>de</w:t>
      </w:r>
      <w:r>
        <w:rPr>
          <w:spacing w:val="38"/>
        </w:rPr>
        <w:t> </w:t>
      </w:r>
      <w:r>
        <w:rPr/>
        <w:t>pretos</w:t>
      </w:r>
      <w:r>
        <w:rPr>
          <w:spacing w:val="41"/>
        </w:rPr>
        <w:t> </w:t>
      </w:r>
      <w:r>
        <w:rPr/>
        <w:t>e</w:t>
      </w:r>
      <w:r>
        <w:rPr>
          <w:spacing w:val="38"/>
        </w:rPr>
        <w:t> </w:t>
      </w:r>
      <w:r>
        <w:rPr/>
        <w:t>pardos.</w:t>
        <w:tab/>
        <w:t>Exclusive a </w:t>
      </w:r>
      <w:r>
        <w:rPr>
          <w:spacing w:val="-3"/>
        </w:rPr>
        <w:t>população </w:t>
      </w:r>
      <w:r>
        <w:rPr/>
        <w:t>rural</w:t>
      </w:r>
      <w:r>
        <w:rPr>
          <w:spacing w:val="-1"/>
        </w:rPr>
        <w:t> </w:t>
      </w:r>
      <w:r>
        <w:rPr/>
        <w:t>.</w:t>
      </w:r>
    </w:p>
    <w:p>
      <w:pPr>
        <w:pStyle w:val="BodyText"/>
        <w:spacing w:line="274" w:lineRule="exact"/>
        <w:ind w:left="1009"/>
      </w:pPr>
      <w:r>
        <w:rPr/>
        <w:t>Sobre a expressão “boa aparência” e o seu real significado nos fala Santos:</w:t>
      </w:r>
    </w:p>
    <w:p>
      <w:pPr>
        <w:spacing w:before="138"/>
        <w:ind w:left="2569" w:right="518" w:firstLine="0"/>
        <w:jc w:val="left"/>
        <w:rPr>
          <w:i/>
          <w:sz w:val="20"/>
        </w:rPr>
      </w:pPr>
      <w:r>
        <w:rPr>
          <w:i/>
          <w:sz w:val="20"/>
        </w:rPr>
        <w:t>“Durante muito tempo e, em parte, ainda hoje, em pleno início do 3</w:t>
      </w:r>
      <w:r>
        <w:rPr>
          <w:i/>
          <w:sz w:val="20"/>
          <w:vertAlign w:val="superscript"/>
        </w:rPr>
        <w:t>o</w:t>
      </w:r>
      <w:r>
        <w:rPr>
          <w:i/>
          <w:sz w:val="20"/>
          <w:vertAlign w:val="baseline"/>
        </w:rPr>
        <w:t> milênio, falou- </w:t>
      </w:r>
      <w:r>
        <w:rPr>
          <w:i/>
          <w:sz w:val="20"/>
          <w:vertAlign w:val="baseline"/>
        </w:rPr>
        <w:t>se em “boa aparência”. Essa foi a forma de vetar o acesso de negras e negros para as mais diferentes funções. Se pensarmos no que deve ser boa aparência: porte  físico e saúde, boa parte da população brasileira, independentemente da etnia a que pertence, estaria fora do mercado de trabalho. O conceito de beleza existente no Brasil – o país com maior mescla racial do mundo – é olimpicamente branco e de preferência loiro mesmo. É como se aqui fosse uma espécie de escandinávia  tropical. Não se fala e nem se escreve a respeito de “boa aparência” tanto quanto  se pensa. Contudo, esse conceito continua no imaginário das pessoas. Hoje, talvez um pouco menos do que em um passado recente. Este “passado” não é do século 19; é da década passada. Nos anos 80, os profissionais de Recursos Humanos foram denunciados por estarem usando em suas fichas de seleção de pessoal o famoso e malfadado “código 4”. Fazia parte da trama o próprio SINE (Sistema Nacional de Emprego). O código citado identificava a cor do candidato para que assim a empresa interessada, de posse da ficha, pudesse, antecipadamente, dispor de</w:t>
      </w:r>
      <w:r>
        <w:rPr>
          <w:i/>
          <w:spacing w:val="4"/>
          <w:sz w:val="20"/>
          <w:vertAlign w:val="baseline"/>
        </w:rPr>
        <w:t> </w:t>
      </w:r>
      <w:r>
        <w:rPr>
          <w:i/>
          <w:sz w:val="20"/>
          <w:vertAlign w:val="baseline"/>
        </w:rPr>
        <w:t>um</w:t>
      </w:r>
    </w:p>
    <w:p>
      <w:pPr>
        <w:spacing w:after="0"/>
        <w:jc w:val="left"/>
        <w:rPr>
          <w:sz w:val="20"/>
        </w:rPr>
        <w:sectPr>
          <w:pgSz w:w="11900" w:h="16840"/>
          <w:pgMar w:top="1600" w:bottom="280" w:left="1400" w:right="540"/>
        </w:sectPr>
      </w:pPr>
    </w:p>
    <w:p>
      <w:pPr>
        <w:spacing w:before="95"/>
        <w:ind w:left="2569" w:right="581" w:firstLine="0"/>
        <w:jc w:val="both"/>
        <w:rPr>
          <w:sz w:val="20"/>
        </w:rPr>
      </w:pPr>
      <w:r>
        <w:rPr>
          <w:i/>
          <w:sz w:val="20"/>
        </w:rPr>
        <w:t>“argumento” para dizer: “a vaga já foi ocupada”; “aguarde ser chamado”; “não </w:t>
      </w:r>
      <w:r>
        <w:rPr>
          <w:i/>
          <w:sz w:val="20"/>
        </w:rPr>
        <w:t>foi possível desta vez” etc. O “código 4” se encaixa como uma luva ao exemplo do avião bombardeiro B-2, que não é visto pelos radares, e que por essa invisibilidade causa um estrago considerável. O povo negro foi lesado barbaramente por essa prática racista durante muito tempo. Os discriminados desconfiavam e sofriam os efeitos da prática sem decodificar por completo como se dava a operação. As perdas continuam para os negros e os códigos adquiriram novas configurações.”</w:t>
      </w:r>
      <w:r>
        <w:rPr>
          <w:sz w:val="20"/>
        </w:rPr>
        <w:t>(SANTOS, 2001)</w:t>
      </w:r>
    </w:p>
    <w:p>
      <w:pPr>
        <w:pStyle w:val="BodyText"/>
        <w:rPr>
          <w:sz w:val="22"/>
        </w:rPr>
      </w:pPr>
    </w:p>
    <w:p>
      <w:pPr>
        <w:pStyle w:val="BodyText"/>
        <w:spacing w:line="360" w:lineRule="auto" w:before="159"/>
        <w:ind w:left="301" w:right="581" w:firstLine="708"/>
        <w:jc w:val="both"/>
      </w:pPr>
      <w:r>
        <w:rPr/>
        <w:t>Ao compararmos a diferença de renda, não teremos mais dúvida quanto à existência  do racismo no mercado de trabalho, e ainda que ocorre no Brasil como um todo e se repete nas regiões do País (em algumas a renda da população branca chega a ser o dobro da população</w:t>
      </w:r>
      <w:r>
        <w:rPr>
          <w:spacing w:val="-1"/>
        </w:rPr>
        <w:t> </w:t>
      </w:r>
      <w:r>
        <w:rPr/>
        <w:t>negra):</w:t>
      </w:r>
    </w:p>
    <w:p>
      <w:pPr>
        <w:pStyle w:val="BodyText"/>
        <w:spacing w:before="3"/>
        <w:rPr>
          <w:sz w:val="36"/>
        </w:rPr>
      </w:pPr>
    </w:p>
    <w:p>
      <w:pPr>
        <w:spacing w:before="0" w:after="2"/>
        <w:ind w:left="301" w:right="0" w:firstLine="0"/>
        <w:jc w:val="left"/>
        <w:rPr>
          <w:b/>
          <w:sz w:val="20"/>
        </w:rPr>
      </w:pPr>
      <w:r>
        <w:rPr>
          <w:b/>
          <w:sz w:val="20"/>
        </w:rPr>
        <w:t>Tabela 4 - Média da renda da ocupação principal por cor ou raça – Brasil e Grandes Regiões – 1992-2001</w:t>
      </w:r>
    </w:p>
    <w:tbl>
      <w:tblPr>
        <w:tblW w:w="0" w:type="auto"/>
        <w:jc w:val="left"/>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44"/>
        <w:gridCol w:w="1121"/>
        <w:gridCol w:w="1123"/>
        <w:gridCol w:w="1121"/>
        <w:gridCol w:w="1123"/>
        <w:gridCol w:w="1121"/>
        <w:gridCol w:w="1123"/>
      </w:tblGrid>
      <w:tr>
        <w:trPr>
          <w:trHeight w:val="825" w:hRule="atLeast"/>
        </w:trPr>
        <w:tc>
          <w:tcPr>
            <w:tcW w:w="2244" w:type="dxa"/>
            <w:vMerge w:val="restart"/>
          </w:tcPr>
          <w:p>
            <w:pPr>
              <w:pStyle w:val="TableParagraph"/>
              <w:tabs>
                <w:tab w:pos="935" w:val="left" w:leader="none"/>
                <w:tab w:pos="1293" w:val="left" w:leader="none"/>
              </w:tabs>
              <w:spacing w:line="360" w:lineRule="auto"/>
              <w:ind w:right="60"/>
              <w:rPr>
                <w:b/>
                <w:sz w:val="24"/>
              </w:rPr>
            </w:pPr>
            <w:r>
              <w:rPr>
                <w:b/>
                <w:sz w:val="24"/>
              </w:rPr>
              <w:t>Brasil</w:t>
              <w:tab/>
              <w:t>e</w:t>
              <w:tab/>
            </w:r>
            <w:r>
              <w:rPr>
                <w:b/>
                <w:spacing w:val="-4"/>
                <w:sz w:val="24"/>
              </w:rPr>
              <w:t>Grandes </w:t>
            </w:r>
            <w:r>
              <w:rPr>
                <w:b/>
                <w:sz w:val="24"/>
              </w:rPr>
              <w:t>Regiões</w:t>
            </w:r>
          </w:p>
        </w:tc>
        <w:tc>
          <w:tcPr>
            <w:tcW w:w="2244" w:type="dxa"/>
            <w:gridSpan w:val="2"/>
          </w:tcPr>
          <w:p>
            <w:pPr>
              <w:pStyle w:val="TableParagraph"/>
              <w:spacing w:line="275" w:lineRule="exact"/>
              <w:rPr>
                <w:b/>
                <w:sz w:val="24"/>
              </w:rPr>
            </w:pPr>
            <w:r>
              <w:rPr>
                <w:b/>
                <w:sz w:val="24"/>
              </w:rPr>
              <w:t>População Total</w:t>
            </w:r>
          </w:p>
        </w:tc>
        <w:tc>
          <w:tcPr>
            <w:tcW w:w="2244" w:type="dxa"/>
            <w:gridSpan w:val="2"/>
          </w:tcPr>
          <w:p>
            <w:pPr>
              <w:pStyle w:val="TableParagraph"/>
              <w:spacing w:line="275" w:lineRule="exact"/>
              <w:rPr>
                <w:b/>
                <w:sz w:val="24"/>
              </w:rPr>
            </w:pPr>
            <w:r>
              <w:rPr>
                <w:b/>
                <w:sz w:val="24"/>
              </w:rPr>
              <w:t>População Branca</w:t>
            </w:r>
          </w:p>
        </w:tc>
        <w:tc>
          <w:tcPr>
            <w:tcW w:w="2244" w:type="dxa"/>
            <w:gridSpan w:val="2"/>
          </w:tcPr>
          <w:p>
            <w:pPr>
              <w:pStyle w:val="TableParagraph"/>
              <w:tabs>
                <w:tab w:pos="1612" w:val="left" w:leader="none"/>
              </w:tabs>
              <w:spacing w:line="275" w:lineRule="exact"/>
              <w:rPr>
                <w:b/>
                <w:sz w:val="24"/>
              </w:rPr>
            </w:pPr>
            <w:r>
              <w:rPr>
                <w:b/>
                <w:sz w:val="24"/>
              </w:rPr>
              <w:t>População</w:t>
              <w:tab/>
              <w:t>Afro-</w:t>
            </w:r>
          </w:p>
          <w:p>
            <w:pPr>
              <w:pStyle w:val="TableParagraph"/>
              <w:spacing w:line="240" w:lineRule="auto" w:before="137"/>
              <w:rPr>
                <w:b/>
                <w:sz w:val="24"/>
              </w:rPr>
            </w:pPr>
            <w:r>
              <w:rPr>
                <w:b/>
                <w:sz w:val="24"/>
              </w:rPr>
              <w:t>descendente</w:t>
            </w:r>
          </w:p>
        </w:tc>
      </w:tr>
      <w:tr>
        <w:trPr>
          <w:trHeight w:val="414" w:hRule="atLeast"/>
        </w:trPr>
        <w:tc>
          <w:tcPr>
            <w:tcW w:w="2244" w:type="dxa"/>
            <w:vMerge/>
            <w:tcBorders>
              <w:top w:val="nil"/>
            </w:tcBorders>
          </w:tcPr>
          <w:p>
            <w:pPr>
              <w:rPr>
                <w:sz w:val="2"/>
                <w:szCs w:val="2"/>
              </w:rPr>
            </w:pPr>
          </w:p>
        </w:tc>
        <w:tc>
          <w:tcPr>
            <w:tcW w:w="1121" w:type="dxa"/>
          </w:tcPr>
          <w:p>
            <w:pPr>
              <w:pStyle w:val="TableParagraph"/>
              <w:spacing w:line="275" w:lineRule="exact"/>
              <w:rPr>
                <w:b/>
                <w:sz w:val="24"/>
              </w:rPr>
            </w:pPr>
            <w:r>
              <w:rPr>
                <w:b/>
                <w:sz w:val="24"/>
              </w:rPr>
              <w:t>1992</w:t>
            </w:r>
          </w:p>
        </w:tc>
        <w:tc>
          <w:tcPr>
            <w:tcW w:w="1123" w:type="dxa"/>
          </w:tcPr>
          <w:p>
            <w:pPr>
              <w:pStyle w:val="TableParagraph"/>
              <w:spacing w:line="275" w:lineRule="exact"/>
              <w:ind w:left="71"/>
              <w:rPr>
                <w:b/>
                <w:sz w:val="24"/>
              </w:rPr>
            </w:pPr>
            <w:r>
              <w:rPr>
                <w:b/>
                <w:sz w:val="24"/>
              </w:rPr>
              <w:t>2001</w:t>
            </w:r>
          </w:p>
        </w:tc>
        <w:tc>
          <w:tcPr>
            <w:tcW w:w="1121" w:type="dxa"/>
          </w:tcPr>
          <w:p>
            <w:pPr>
              <w:pStyle w:val="TableParagraph"/>
              <w:spacing w:line="275" w:lineRule="exact"/>
              <w:rPr>
                <w:b/>
                <w:sz w:val="24"/>
              </w:rPr>
            </w:pPr>
            <w:r>
              <w:rPr>
                <w:b/>
                <w:sz w:val="24"/>
              </w:rPr>
              <w:t>1992</w:t>
            </w:r>
          </w:p>
        </w:tc>
        <w:tc>
          <w:tcPr>
            <w:tcW w:w="1123" w:type="dxa"/>
          </w:tcPr>
          <w:p>
            <w:pPr>
              <w:pStyle w:val="TableParagraph"/>
              <w:spacing w:line="275" w:lineRule="exact"/>
              <w:ind w:left="71"/>
              <w:rPr>
                <w:b/>
                <w:sz w:val="24"/>
              </w:rPr>
            </w:pPr>
            <w:r>
              <w:rPr>
                <w:b/>
                <w:sz w:val="24"/>
              </w:rPr>
              <w:t>2001</w:t>
            </w:r>
          </w:p>
        </w:tc>
        <w:tc>
          <w:tcPr>
            <w:tcW w:w="1121" w:type="dxa"/>
          </w:tcPr>
          <w:p>
            <w:pPr>
              <w:pStyle w:val="TableParagraph"/>
              <w:spacing w:line="275" w:lineRule="exact"/>
              <w:rPr>
                <w:b/>
                <w:sz w:val="24"/>
              </w:rPr>
            </w:pPr>
            <w:r>
              <w:rPr>
                <w:b/>
                <w:sz w:val="24"/>
              </w:rPr>
              <w:t>1992</w:t>
            </w:r>
          </w:p>
        </w:tc>
        <w:tc>
          <w:tcPr>
            <w:tcW w:w="1123" w:type="dxa"/>
          </w:tcPr>
          <w:p>
            <w:pPr>
              <w:pStyle w:val="TableParagraph"/>
              <w:spacing w:line="275" w:lineRule="exact"/>
              <w:ind w:left="71"/>
              <w:rPr>
                <w:b/>
                <w:sz w:val="24"/>
              </w:rPr>
            </w:pPr>
            <w:r>
              <w:rPr>
                <w:b/>
                <w:sz w:val="24"/>
              </w:rPr>
              <w:t>2001</w:t>
            </w:r>
          </w:p>
        </w:tc>
      </w:tr>
      <w:tr>
        <w:trPr>
          <w:trHeight w:val="414" w:hRule="atLeast"/>
        </w:trPr>
        <w:tc>
          <w:tcPr>
            <w:tcW w:w="2244" w:type="dxa"/>
          </w:tcPr>
          <w:p>
            <w:pPr>
              <w:pStyle w:val="TableParagraph"/>
              <w:spacing w:line="275" w:lineRule="exact"/>
              <w:rPr>
                <w:b/>
                <w:sz w:val="24"/>
              </w:rPr>
            </w:pPr>
            <w:r>
              <w:rPr>
                <w:b/>
                <w:sz w:val="24"/>
              </w:rPr>
              <w:t>Brasil</w:t>
            </w:r>
          </w:p>
        </w:tc>
        <w:tc>
          <w:tcPr>
            <w:tcW w:w="1121" w:type="dxa"/>
          </w:tcPr>
          <w:p>
            <w:pPr>
              <w:pStyle w:val="TableParagraph"/>
              <w:spacing w:line="275" w:lineRule="exact"/>
              <w:ind w:left="0" w:right="259"/>
              <w:jc w:val="right"/>
              <w:rPr>
                <w:b/>
                <w:sz w:val="24"/>
              </w:rPr>
            </w:pPr>
            <w:r>
              <w:rPr>
                <w:b/>
                <w:w w:val="95"/>
                <w:sz w:val="24"/>
              </w:rPr>
              <w:t>416,0</w:t>
            </w:r>
          </w:p>
        </w:tc>
        <w:tc>
          <w:tcPr>
            <w:tcW w:w="1123" w:type="dxa"/>
          </w:tcPr>
          <w:p>
            <w:pPr>
              <w:pStyle w:val="TableParagraph"/>
              <w:spacing w:line="275" w:lineRule="exact"/>
              <w:ind w:left="0" w:right="259"/>
              <w:jc w:val="right"/>
              <w:rPr>
                <w:b/>
                <w:sz w:val="24"/>
              </w:rPr>
            </w:pPr>
            <w:r>
              <w:rPr>
                <w:b/>
                <w:w w:val="95"/>
                <w:sz w:val="24"/>
              </w:rPr>
              <w:t>534,7</w:t>
            </w:r>
          </w:p>
        </w:tc>
        <w:tc>
          <w:tcPr>
            <w:tcW w:w="1121" w:type="dxa"/>
          </w:tcPr>
          <w:p>
            <w:pPr>
              <w:pStyle w:val="TableParagraph"/>
              <w:spacing w:line="275" w:lineRule="exact"/>
              <w:ind w:left="0" w:right="259"/>
              <w:jc w:val="right"/>
              <w:rPr>
                <w:b/>
                <w:sz w:val="24"/>
              </w:rPr>
            </w:pPr>
            <w:r>
              <w:rPr>
                <w:b/>
                <w:w w:val="95"/>
                <w:sz w:val="24"/>
              </w:rPr>
              <w:t>535,7</w:t>
            </w:r>
          </w:p>
        </w:tc>
        <w:tc>
          <w:tcPr>
            <w:tcW w:w="1123" w:type="dxa"/>
          </w:tcPr>
          <w:p>
            <w:pPr>
              <w:pStyle w:val="TableParagraph"/>
              <w:spacing w:line="275" w:lineRule="exact"/>
              <w:ind w:left="0" w:right="259"/>
              <w:jc w:val="right"/>
              <w:rPr>
                <w:b/>
                <w:sz w:val="24"/>
              </w:rPr>
            </w:pPr>
            <w:r>
              <w:rPr>
                <w:b/>
                <w:w w:val="95"/>
                <w:sz w:val="24"/>
              </w:rPr>
              <w:t>691,9</w:t>
            </w:r>
          </w:p>
        </w:tc>
        <w:tc>
          <w:tcPr>
            <w:tcW w:w="1121" w:type="dxa"/>
          </w:tcPr>
          <w:p>
            <w:pPr>
              <w:pStyle w:val="TableParagraph"/>
              <w:spacing w:line="275" w:lineRule="exact"/>
              <w:ind w:left="0" w:right="259"/>
              <w:jc w:val="right"/>
              <w:rPr>
                <w:b/>
                <w:sz w:val="24"/>
              </w:rPr>
            </w:pPr>
            <w:r>
              <w:rPr>
                <w:b/>
                <w:w w:val="95"/>
                <w:sz w:val="24"/>
              </w:rPr>
              <w:t>260,8</w:t>
            </w:r>
          </w:p>
        </w:tc>
        <w:tc>
          <w:tcPr>
            <w:tcW w:w="1123" w:type="dxa"/>
          </w:tcPr>
          <w:p>
            <w:pPr>
              <w:pStyle w:val="TableParagraph"/>
              <w:spacing w:line="275" w:lineRule="exact"/>
              <w:ind w:left="0" w:right="259"/>
              <w:jc w:val="right"/>
              <w:rPr>
                <w:b/>
                <w:sz w:val="24"/>
              </w:rPr>
            </w:pPr>
            <w:r>
              <w:rPr>
                <w:b/>
                <w:w w:val="95"/>
                <w:sz w:val="24"/>
              </w:rPr>
              <w:t>332,2</w:t>
            </w:r>
          </w:p>
        </w:tc>
      </w:tr>
      <w:tr>
        <w:trPr>
          <w:trHeight w:val="412" w:hRule="atLeast"/>
        </w:trPr>
        <w:tc>
          <w:tcPr>
            <w:tcW w:w="2244" w:type="dxa"/>
          </w:tcPr>
          <w:p>
            <w:pPr>
              <w:pStyle w:val="TableParagraph"/>
              <w:rPr>
                <w:sz w:val="24"/>
              </w:rPr>
            </w:pPr>
            <w:r>
              <w:rPr>
                <w:sz w:val="24"/>
              </w:rPr>
              <w:t>Norte</w:t>
            </w:r>
          </w:p>
        </w:tc>
        <w:tc>
          <w:tcPr>
            <w:tcW w:w="1121" w:type="dxa"/>
          </w:tcPr>
          <w:p>
            <w:pPr>
              <w:pStyle w:val="TableParagraph"/>
              <w:ind w:left="0" w:right="259"/>
              <w:jc w:val="right"/>
              <w:rPr>
                <w:sz w:val="24"/>
              </w:rPr>
            </w:pPr>
            <w:r>
              <w:rPr>
                <w:w w:val="95"/>
                <w:sz w:val="24"/>
              </w:rPr>
              <w:t>382,7</w:t>
            </w:r>
          </w:p>
        </w:tc>
        <w:tc>
          <w:tcPr>
            <w:tcW w:w="1123" w:type="dxa"/>
          </w:tcPr>
          <w:p>
            <w:pPr>
              <w:pStyle w:val="TableParagraph"/>
              <w:ind w:left="0" w:right="259"/>
              <w:jc w:val="right"/>
              <w:rPr>
                <w:sz w:val="24"/>
              </w:rPr>
            </w:pPr>
            <w:r>
              <w:rPr>
                <w:w w:val="95"/>
                <w:sz w:val="24"/>
              </w:rPr>
              <w:t>494,1</w:t>
            </w:r>
          </w:p>
        </w:tc>
        <w:tc>
          <w:tcPr>
            <w:tcW w:w="1121" w:type="dxa"/>
          </w:tcPr>
          <w:p>
            <w:pPr>
              <w:pStyle w:val="TableParagraph"/>
              <w:ind w:left="0" w:right="259"/>
              <w:jc w:val="right"/>
              <w:rPr>
                <w:sz w:val="24"/>
              </w:rPr>
            </w:pPr>
            <w:r>
              <w:rPr>
                <w:w w:val="95"/>
                <w:sz w:val="24"/>
              </w:rPr>
              <w:t>537,3</w:t>
            </w:r>
          </w:p>
        </w:tc>
        <w:tc>
          <w:tcPr>
            <w:tcW w:w="1123" w:type="dxa"/>
          </w:tcPr>
          <w:p>
            <w:pPr>
              <w:pStyle w:val="TableParagraph"/>
              <w:ind w:left="0" w:right="259"/>
              <w:jc w:val="right"/>
              <w:rPr>
                <w:sz w:val="24"/>
              </w:rPr>
            </w:pPr>
            <w:r>
              <w:rPr>
                <w:w w:val="95"/>
                <w:sz w:val="24"/>
              </w:rPr>
              <w:t>705,4</w:t>
            </w:r>
          </w:p>
        </w:tc>
        <w:tc>
          <w:tcPr>
            <w:tcW w:w="1121" w:type="dxa"/>
          </w:tcPr>
          <w:p>
            <w:pPr>
              <w:pStyle w:val="TableParagraph"/>
              <w:ind w:left="0" w:right="259"/>
              <w:jc w:val="right"/>
              <w:rPr>
                <w:sz w:val="24"/>
              </w:rPr>
            </w:pPr>
            <w:r>
              <w:rPr>
                <w:w w:val="95"/>
                <w:sz w:val="24"/>
              </w:rPr>
              <w:t>318,3</w:t>
            </w:r>
          </w:p>
        </w:tc>
        <w:tc>
          <w:tcPr>
            <w:tcW w:w="1123" w:type="dxa"/>
          </w:tcPr>
          <w:p>
            <w:pPr>
              <w:pStyle w:val="TableParagraph"/>
              <w:ind w:left="0" w:right="259"/>
              <w:jc w:val="right"/>
              <w:rPr>
                <w:sz w:val="24"/>
              </w:rPr>
            </w:pPr>
            <w:r>
              <w:rPr>
                <w:w w:val="95"/>
                <w:sz w:val="24"/>
              </w:rPr>
              <w:t>410,1</w:t>
            </w:r>
          </w:p>
        </w:tc>
      </w:tr>
      <w:tr>
        <w:trPr>
          <w:trHeight w:val="414" w:hRule="atLeast"/>
        </w:trPr>
        <w:tc>
          <w:tcPr>
            <w:tcW w:w="2244" w:type="dxa"/>
          </w:tcPr>
          <w:p>
            <w:pPr>
              <w:pStyle w:val="TableParagraph"/>
              <w:rPr>
                <w:sz w:val="24"/>
              </w:rPr>
            </w:pPr>
            <w:r>
              <w:rPr>
                <w:sz w:val="24"/>
              </w:rPr>
              <w:t>Nordeste</w:t>
            </w:r>
          </w:p>
        </w:tc>
        <w:tc>
          <w:tcPr>
            <w:tcW w:w="1121" w:type="dxa"/>
          </w:tcPr>
          <w:p>
            <w:pPr>
              <w:pStyle w:val="TableParagraph"/>
              <w:ind w:left="0" w:right="259"/>
              <w:jc w:val="right"/>
              <w:rPr>
                <w:sz w:val="24"/>
              </w:rPr>
            </w:pPr>
            <w:r>
              <w:rPr>
                <w:w w:val="95"/>
                <w:sz w:val="24"/>
              </w:rPr>
              <w:t>237,0</w:t>
            </w:r>
          </w:p>
        </w:tc>
        <w:tc>
          <w:tcPr>
            <w:tcW w:w="1123" w:type="dxa"/>
          </w:tcPr>
          <w:p>
            <w:pPr>
              <w:pStyle w:val="TableParagraph"/>
              <w:ind w:left="0" w:right="259"/>
              <w:jc w:val="right"/>
              <w:rPr>
                <w:sz w:val="24"/>
              </w:rPr>
            </w:pPr>
            <w:r>
              <w:rPr>
                <w:w w:val="95"/>
                <w:sz w:val="24"/>
              </w:rPr>
              <w:t>301,5</w:t>
            </w:r>
          </w:p>
        </w:tc>
        <w:tc>
          <w:tcPr>
            <w:tcW w:w="1121" w:type="dxa"/>
          </w:tcPr>
          <w:p>
            <w:pPr>
              <w:pStyle w:val="TableParagraph"/>
              <w:ind w:left="0" w:right="259"/>
              <w:jc w:val="right"/>
              <w:rPr>
                <w:sz w:val="24"/>
              </w:rPr>
            </w:pPr>
            <w:r>
              <w:rPr>
                <w:w w:val="95"/>
                <w:sz w:val="24"/>
              </w:rPr>
              <w:t>357,5</w:t>
            </w:r>
          </w:p>
        </w:tc>
        <w:tc>
          <w:tcPr>
            <w:tcW w:w="1123" w:type="dxa"/>
          </w:tcPr>
          <w:p>
            <w:pPr>
              <w:pStyle w:val="TableParagraph"/>
              <w:ind w:left="0" w:right="259"/>
              <w:jc w:val="right"/>
              <w:rPr>
                <w:sz w:val="24"/>
              </w:rPr>
            </w:pPr>
            <w:r>
              <w:rPr>
                <w:w w:val="95"/>
                <w:sz w:val="24"/>
              </w:rPr>
              <w:t>456,3</w:t>
            </w:r>
          </w:p>
        </w:tc>
        <w:tc>
          <w:tcPr>
            <w:tcW w:w="1121" w:type="dxa"/>
          </w:tcPr>
          <w:p>
            <w:pPr>
              <w:pStyle w:val="TableParagraph"/>
              <w:ind w:left="0" w:right="259"/>
              <w:jc w:val="right"/>
              <w:rPr>
                <w:sz w:val="24"/>
              </w:rPr>
            </w:pPr>
            <w:r>
              <w:rPr>
                <w:w w:val="95"/>
                <w:sz w:val="24"/>
              </w:rPr>
              <w:t>190,3</w:t>
            </w:r>
          </w:p>
        </w:tc>
        <w:tc>
          <w:tcPr>
            <w:tcW w:w="1123" w:type="dxa"/>
          </w:tcPr>
          <w:p>
            <w:pPr>
              <w:pStyle w:val="TableParagraph"/>
              <w:ind w:left="0" w:right="259"/>
              <w:jc w:val="right"/>
              <w:rPr>
                <w:sz w:val="24"/>
              </w:rPr>
            </w:pPr>
            <w:r>
              <w:rPr>
                <w:w w:val="95"/>
                <w:sz w:val="24"/>
              </w:rPr>
              <w:t>237,2</w:t>
            </w:r>
          </w:p>
        </w:tc>
      </w:tr>
      <w:tr>
        <w:trPr>
          <w:trHeight w:val="412" w:hRule="atLeast"/>
        </w:trPr>
        <w:tc>
          <w:tcPr>
            <w:tcW w:w="2244" w:type="dxa"/>
          </w:tcPr>
          <w:p>
            <w:pPr>
              <w:pStyle w:val="TableParagraph"/>
              <w:rPr>
                <w:sz w:val="24"/>
              </w:rPr>
            </w:pPr>
            <w:r>
              <w:rPr>
                <w:sz w:val="24"/>
              </w:rPr>
              <w:t>Sudeste</w:t>
            </w:r>
          </w:p>
        </w:tc>
        <w:tc>
          <w:tcPr>
            <w:tcW w:w="1121" w:type="dxa"/>
          </w:tcPr>
          <w:p>
            <w:pPr>
              <w:pStyle w:val="TableParagraph"/>
              <w:ind w:left="0" w:right="259"/>
              <w:jc w:val="right"/>
              <w:rPr>
                <w:sz w:val="24"/>
              </w:rPr>
            </w:pPr>
            <w:r>
              <w:rPr>
                <w:w w:val="95"/>
                <w:sz w:val="24"/>
              </w:rPr>
              <w:t>530,9</w:t>
            </w:r>
          </w:p>
        </w:tc>
        <w:tc>
          <w:tcPr>
            <w:tcW w:w="1123" w:type="dxa"/>
          </w:tcPr>
          <w:p>
            <w:pPr>
              <w:pStyle w:val="TableParagraph"/>
              <w:ind w:left="0" w:right="259"/>
              <w:jc w:val="right"/>
              <w:rPr>
                <w:sz w:val="24"/>
              </w:rPr>
            </w:pPr>
            <w:r>
              <w:rPr>
                <w:w w:val="95"/>
                <w:sz w:val="24"/>
              </w:rPr>
              <w:t>676,9</w:t>
            </w:r>
          </w:p>
        </w:tc>
        <w:tc>
          <w:tcPr>
            <w:tcW w:w="1121" w:type="dxa"/>
          </w:tcPr>
          <w:p>
            <w:pPr>
              <w:pStyle w:val="TableParagraph"/>
              <w:ind w:left="0" w:right="259"/>
              <w:jc w:val="right"/>
              <w:rPr>
                <w:sz w:val="24"/>
              </w:rPr>
            </w:pPr>
            <w:r>
              <w:rPr>
                <w:w w:val="95"/>
                <w:sz w:val="24"/>
              </w:rPr>
              <w:t>633,3</w:t>
            </w:r>
          </w:p>
        </w:tc>
        <w:tc>
          <w:tcPr>
            <w:tcW w:w="1123" w:type="dxa"/>
          </w:tcPr>
          <w:p>
            <w:pPr>
              <w:pStyle w:val="TableParagraph"/>
              <w:ind w:left="0" w:right="259"/>
              <w:jc w:val="right"/>
              <w:rPr>
                <w:sz w:val="24"/>
              </w:rPr>
            </w:pPr>
            <w:r>
              <w:rPr>
                <w:w w:val="95"/>
                <w:sz w:val="24"/>
              </w:rPr>
              <w:t>812,7</w:t>
            </w:r>
          </w:p>
        </w:tc>
        <w:tc>
          <w:tcPr>
            <w:tcW w:w="1121" w:type="dxa"/>
          </w:tcPr>
          <w:p>
            <w:pPr>
              <w:pStyle w:val="TableParagraph"/>
              <w:ind w:left="0" w:right="259"/>
              <w:jc w:val="right"/>
              <w:rPr>
                <w:sz w:val="24"/>
              </w:rPr>
            </w:pPr>
            <w:r>
              <w:rPr>
                <w:w w:val="95"/>
                <w:sz w:val="24"/>
              </w:rPr>
              <w:t>331,1</w:t>
            </w:r>
          </w:p>
        </w:tc>
        <w:tc>
          <w:tcPr>
            <w:tcW w:w="1123" w:type="dxa"/>
          </w:tcPr>
          <w:p>
            <w:pPr>
              <w:pStyle w:val="TableParagraph"/>
              <w:ind w:left="0" w:right="259"/>
              <w:jc w:val="right"/>
              <w:rPr>
                <w:sz w:val="24"/>
              </w:rPr>
            </w:pPr>
            <w:r>
              <w:rPr>
                <w:w w:val="95"/>
                <w:sz w:val="24"/>
              </w:rPr>
              <w:t>406,4</w:t>
            </w:r>
          </w:p>
        </w:tc>
      </w:tr>
      <w:tr>
        <w:trPr>
          <w:trHeight w:val="414" w:hRule="atLeast"/>
        </w:trPr>
        <w:tc>
          <w:tcPr>
            <w:tcW w:w="2244" w:type="dxa"/>
          </w:tcPr>
          <w:p>
            <w:pPr>
              <w:pStyle w:val="TableParagraph"/>
              <w:rPr>
                <w:sz w:val="24"/>
              </w:rPr>
            </w:pPr>
            <w:r>
              <w:rPr>
                <w:sz w:val="24"/>
              </w:rPr>
              <w:t>Sul</w:t>
            </w:r>
          </w:p>
        </w:tc>
        <w:tc>
          <w:tcPr>
            <w:tcW w:w="1121" w:type="dxa"/>
          </w:tcPr>
          <w:p>
            <w:pPr>
              <w:pStyle w:val="TableParagraph"/>
              <w:ind w:left="0" w:right="259"/>
              <w:jc w:val="right"/>
              <w:rPr>
                <w:sz w:val="24"/>
              </w:rPr>
            </w:pPr>
            <w:r>
              <w:rPr>
                <w:w w:val="95"/>
                <w:sz w:val="24"/>
              </w:rPr>
              <w:t>412,4</w:t>
            </w:r>
          </w:p>
        </w:tc>
        <w:tc>
          <w:tcPr>
            <w:tcW w:w="1123" w:type="dxa"/>
          </w:tcPr>
          <w:p>
            <w:pPr>
              <w:pStyle w:val="TableParagraph"/>
              <w:ind w:left="0" w:right="259"/>
              <w:jc w:val="right"/>
              <w:rPr>
                <w:sz w:val="24"/>
              </w:rPr>
            </w:pPr>
            <w:r>
              <w:rPr>
                <w:w w:val="95"/>
                <w:sz w:val="24"/>
              </w:rPr>
              <w:t>532,3</w:t>
            </w:r>
          </w:p>
        </w:tc>
        <w:tc>
          <w:tcPr>
            <w:tcW w:w="1121" w:type="dxa"/>
          </w:tcPr>
          <w:p>
            <w:pPr>
              <w:pStyle w:val="TableParagraph"/>
              <w:ind w:left="0" w:right="259"/>
              <w:jc w:val="right"/>
              <w:rPr>
                <w:sz w:val="24"/>
              </w:rPr>
            </w:pPr>
            <w:r>
              <w:rPr>
                <w:w w:val="95"/>
                <w:sz w:val="24"/>
              </w:rPr>
              <w:t>439,4</w:t>
            </w:r>
          </w:p>
        </w:tc>
        <w:tc>
          <w:tcPr>
            <w:tcW w:w="1123" w:type="dxa"/>
          </w:tcPr>
          <w:p>
            <w:pPr>
              <w:pStyle w:val="TableParagraph"/>
              <w:ind w:left="0" w:right="259"/>
              <w:jc w:val="right"/>
              <w:rPr>
                <w:sz w:val="24"/>
              </w:rPr>
            </w:pPr>
            <w:r>
              <w:rPr>
                <w:w w:val="95"/>
                <w:sz w:val="24"/>
              </w:rPr>
              <w:t>563,1</w:t>
            </w:r>
          </w:p>
        </w:tc>
        <w:tc>
          <w:tcPr>
            <w:tcW w:w="1121" w:type="dxa"/>
          </w:tcPr>
          <w:p>
            <w:pPr>
              <w:pStyle w:val="TableParagraph"/>
              <w:ind w:left="0" w:right="259"/>
              <w:jc w:val="right"/>
              <w:rPr>
                <w:sz w:val="24"/>
              </w:rPr>
            </w:pPr>
            <w:r>
              <w:rPr>
                <w:w w:val="95"/>
                <w:sz w:val="24"/>
              </w:rPr>
              <w:t>253,5</w:t>
            </w:r>
          </w:p>
        </w:tc>
        <w:tc>
          <w:tcPr>
            <w:tcW w:w="1123" w:type="dxa"/>
          </w:tcPr>
          <w:p>
            <w:pPr>
              <w:pStyle w:val="TableParagraph"/>
              <w:ind w:left="0" w:right="259"/>
              <w:jc w:val="right"/>
              <w:rPr>
                <w:sz w:val="24"/>
              </w:rPr>
            </w:pPr>
            <w:r>
              <w:rPr>
                <w:w w:val="95"/>
                <w:sz w:val="24"/>
              </w:rPr>
              <w:t>340,7</w:t>
            </w:r>
          </w:p>
        </w:tc>
      </w:tr>
      <w:tr>
        <w:trPr>
          <w:trHeight w:val="412" w:hRule="atLeast"/>
        </w:trPr>
        <w:tc>
          <w:tcPr>
            <w:tcW w:w="2244" w:type="dxa"/>
          </w:tcPr>
          <w:p>
            <w:pPr>
              <w:pStyle w:val="TableParagraph"/>
              <w:rPr>
                <w:sz w:val="24"/>
              </w:rPr>
            </w:pPr>
            <w:r>
              <w:rPr>
                <w:sz w:val="24"/>
              </w:rPr>
              <w:t>Centro-Oeste</w:t>
            </w:r>
          </w:p>
        </w:tc>
        <w:tc>
          <w:tcPr>
            <w:tcW w:w="1121" w:type="dxa"/>
          </w:tcPr>
          <w:p>
            <w:pPr>
              <w:pStyle w:val="TableParagraph"/>
              <w:ind w:left="0" w:right="259"/>
              <w:jc w:val="right"/>
              <w:rPr>
                <w:sz w:val="24"/>
              </w:rPr>
            </w:pPr>
            <w:r>
              <w:rPr>
                <w:w w:val="95"/>
                <w:sz w:val="24"/>
              </w:rPr>
              <w:t>421,3</w:t>
            </w:r>
          </w:p>
        </w:tc>
        <w:tc>
          <w:tcPr>
            <w:tcW w:w="1123" w:type="dxa"/>
          </w:tcPr>
          <w:p>
            <w:pPr>
              <w:pStyle w:val="TableParagraph"/>
              <w:ind w:left="0" w:right="259"/>
              <w:jc w:val="right"/>
              <w:rPr>
                <w:sz w:val="24"/>
              </w:rPr>
            </w:pPr>
            <w:r>
              <w:rPr>
                <w:w w:val="95"/>
                <w:sz w:val="24"/>
              </w:rPr>
              <w:t>605,5</w:t>
            </w:r>
          </w:p>
        </w:tc>
        <w:tc>
          <w:tcPr>
            <w:tcW w:w="1121" w:type="dxa"/>
          </w:tcPr>
          <w:p>
            <w:pPr>
              <w:pStyle w:val="TableParagraph"/>
              <w:ind w:left="0" w:right="259"/>
              <w:jc w:val="right"/>
              <w:rPr>
                <w:sz w:val="24"/>
              </w:rPr>
            </w:pPr>
            <w:r>
              <w:rPr>
                <w:w w:val="95"/>
                <w:sz w:val="24"/>
              </w:rPr>
              <w:t>556,8</w:t>
            </w:r>
          </w:p>
        </w:tc>
        <w:tc>
          <w:tcPr>
            <w:tcW w:w="1123" w:type="dxa"/>
          </w:tcPr>
          <w:p>
            <w:pPr>
              <w:pStyle w:val="TableParagraph"/>
              <w:ind w:left="0" w:right="259"/>
              <w:jc w:val="right"/>
              <w:rPr>
                <w:sz w:val="24"/>
              </w:rPr>
            </w:pPr>
            <w:r>
              <w:rPr>
                <w:w w:val="95"/>
                <w:sz w:val="24"/>
              </w:rPr>
              <w:t>823,3</w:t>
            </w:r>
          </w:p>
        </w:tc>
        <w:tc>
          <w:tcPr>
            <w:tcW w:w="1121" w:type="dxa"/>
          </w:tcPr>
          <w:p>
            <w:pPr>
              <w:pStyle w:val="TableParagraph"/>
              <w:ind w:left="0" w:right="259"/>
              <w:jc w:val="right"/>
              <w:rPr>
                <w:sz w:val="24"/>
              </w:rPr>
            </w:pPr>
            <w:r>
              <w:rPr>
                <w:w w:val="95"/>
                <w:sz w:val="24"/>
              </w:rPr>
              <w:t>300,0</w:t>
            </w:r>
          </w:p>
        </w:tc>
        <w:tc>
          <w:tcPr>
            <w:tcW w:w="1123" w:type="dxa"/>
          </w:tcPr>
          <w:p>
            <w:pPr>
              <w:pStyle w:val="TableParagraph"/>
              <w:ind w:left="0" w:right="259"/>
              <w:jc w:val="right"/>
              <w:rPr>
                <w:sz w:val="24"/>
              </w:rPr>
            </w:pPr>
            <w:r>
              <w:rPr>
                <w:w w:val="95"/>
                <w:sz w:val="24"/>
              </w:rPr>
              <w:t>428,9</w:t>
            </w:r>
          </w:p>
        </w:tc>
      </w:tr>
    </w:tbl>
    <w:p>
      <w:pPr>
        <w:spacing w:before="0"/>
        <w:ind w:left="301" w:right="0" w:firstLine="0"/>
        <w:jc w:val="left"/>
        <w:rPr>
          <w:sz w:val="20"/>
        </w:rPr>
      </w:pPr>
      <w:r>
        <w:rPr>
          <w:sz w:val="20"/>
        </w:rPr>
        <w:t>Fonte: IBGE/PNAD Microdados</w:t>
      </w:r>
    </w:p>
    <w:p>
      <w:pPr>
        <w:pStyle w:val="BodyText"/>
        <w:spacing w:line="360" w:lineRule="auto" w:before="116"/>
        <w:ind w:left="301" w:right="583"/>
      </w:pPr>
      <w:r>
        <w:rPr/>
        <w:t>Notas: Exclusive a população rural dos Estados de Rondônia, Acre, Amazonas, Roraima, Pará e Amapá. Em regiões com população reduzida pode ocorrer problemas amostrais.</w:t>
      </w:r>
    </w:p>
    <w:p>
      <w:pPr>
        <w:pStyle w:val="BodyText"/>
        <w:spacing w:before="11"/>
        <w:rPr>
          <w:sz w:val="35"/>
        </w:rPr>
      </w:pPr>
    </w:p>
    <w:p>
      <w:pPr>
        <w:pStyle w:val="BodyText"/>
        <w:spacing w:line="360" w:lineRule="auto"/>
        <w:ind w:left="301" w:right="524" w:firstLine="708"/>
        <w:jc w:val="both"/>
      </w:pPr>
      <w:r>
        <w:rPr/>
        <w:t>A discriminação racial no trabalho é mais sentida pelas mulheres que também arcam com a discriminação de gênero, esta ainda presente na sociedade brasileira, apesar de todos os avanços legislativos e da consolidação da mulher no mercado de trabalho, bem como a inversão de papéis presentes na atualidade, em que a mulher se apresenta, muitas vezes, como a principal responsável pelos custos da família e fonte de renda primordial na nossa sociedade. Os números nos permitem observar que o racismo se mostra mais cruel aliado ao</w:t>
      </w:r>
      <w:r>
        <w:rPr>
          <w:spacing w:val="-14"/>
        </w:rPr>
        <w:t> </w:t>
      </w:r>
      <w:r>
        <w:rPr/>
        <w:t>sexismo.</w:t>
      </w:r>
    </w:p>
    <w:p>
      <w:pPr>
        <w:spacing w:after="0" w:line="360" w:lineRule="auto"/>
        <w:jc w:val="both"/>
        <w:sectPr>
          <w:pgSz w:w="11900" w:h="16840"/>
          <w:pgMar w:top="1600" w:bottom="280" w:left="1400" w:right="540"/>
        </w:sectPr>
      </w:pPr>
    </w:p>
    <w:p>
      <w:pPr>
        <w:spacing w:before="99"/>
        <w:ind w:left="301" w:right="583" w:firstLine="0"/>
        <w:jc w:val="left"/>
        <w:rPr>
          <w:b/>
          <w:sz w:val="20"/>
        </w:rPr>
      </w:pPr>
      <w:r>
        <w:rPr>
          <w:b/>
          <w:sz w:val="20"/>
        </w:rPr>
        <w:t>Tabela 5 - Média da renda da ocupação principal por sexo e cor ou raça – Brasil e Grandes Regiões – 1992-2001</w:t>
      </w:r>
    </w:p>
    <w:tbl>
      <w:tblPr>
        <w:tblW w:w="0" w:type="auto"/>
        <w:jc w:val="left"/>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93"/>
        <w:gridCol w:w="898"/>
        <w:gridCol w:w="898"/>
        <w:gridCol w:w="898"/>
        <w:gridCol w:w="896"/>
        <w:gridCol w:w="898"/>
        <w:gridCol w:w="898"/>
        <w:gridCol w:w="898"/>
        <w:gridCol w:w="896"/>
      </w:tblGrid>
      <w:tr>
        <w:trPr>
          <w:trHeight w:val="414" w:hRule="atLeast"/>
        </w:trPr>
        <w:tc>
          <w:tcPr>
            <w:tcW w:w="1793" w:type="dxa"/>
            <w:vMerge w:val="restart"/>
          </w:tcPr>
          <w:p>
            <w:pPr>
              <w:pStyle w:val="TableParagraph"/>
              <w:tabs>
                <w:tab w:pos="1617" w:val="left" w:leader="none"/>
              </w:tabs>
              <w:spacing w:line="275" w:lineRule="exact"/>
              <w:rPr>
                <w:b/>
                <w:sz w:val="24"/>
              </w:rPr>
            </w:pPr>
            <w:r>
              <w:rPr>
                <w:b/>
                <w:sz w:val="24"/>
              </w:rPr>
              <w:t>Brasil</w:t>
              <w:tab/>
              <w:t>e</w:t>
            </w:r>
          </w:p>
          <w:p>
            <w:pPr>
              <w:pStyle w:val="TableParagraph"/>
              <w:spacing w:line="410" w:lineRule="atLeast" w:before="5"/>
              <w:ind w:right="111"/>
              <w:rPr>
                <w:b/>
                <w:sz w:val="24"/>
              </w:rPr>
            </w:pPr>
            <w:r>
              <w:rPr>
                <w:b/>
                <w:w w:val="95"/>
                <w:sz w:val="24"/>
              </w:rPr>
              <w:t>Grandes </w:t>
            </w:r>
            <w:r>
              <w:rPr>
                <w:b/>
                <w:sz w:val="24"/>
              </w:rPr>
              <w:t>Regiões</w:t>
            </w:r>
          </w:p>
        </w:tc>
        <w:tc>
          <w:tcPr>
            <w:tcW w:w="3590" w:type="dxa"/>
            <w:gridSpan w:val="4"/>
          </w:tcPr>
          <w:p>
            <w:pPr>
              <w:pStyle w:val="TableParagraph"/>
              <w:spacing w:line="275" w:lineRule="exact"/>
              <w:ind w:left="71"/>
              <w:rPr>
                <w:b/>
                <w:sz w:val="24"/>
              </w:rPr>
            </w:pPr>
            <w:r>
              <w:rPr>
                <w:b/>
                <w:sz w:val="24"/>
              </w:rPr>
              <w:t>População Branca</w:t>
            </w:r>
          </w:p>
        </w:tc>
        <w:tc>
          <w:tcPr>
            <w:tcW w:w="3590" w:type="dxa"/>
            <w:gridSpan w:val="4"/>
          </w:tcPr>
          <w:p>
            <w:pPr>
              <w:pStyle w:val="TableParagraph"/>
              <w:spacing w:line="275" w:lineRule="exact"/>
              <w:rPr>
                <w:b/>
                <w:sz w:val="24"/>
              </w:rPr>
            </w:pPr>
            <w:r>
              <w:rPr>
                <w:b/>
                <w:sz w:val="24"/>
              </w:rPr>
              <w:t>População Afro-descendente</w:t>
            </w:r>
          </w:p>
        </w:tc>
      </w:tr>
      <w:tr>
        <w:trPr>
          <w:trHeight w:val="412" w:hRule="atLeast"/>
        </w:trPr>
        <w:tc>
          <w:tcPr>
            <w:tcW w:w="1793" w:type="dxa"/>
            <w:vMerge/>
            <w:tcBorders>
              <w:top w:val="nil"/>
            </w:tcBorders>
          </w:tcPr>
          <w:p>
            <w:pPr>
              <w:rPr>
                <w:sz w:val="2"/>
                <w:szCs w:val="2"/>
              </w:rPr>
            </w:pPr>
          </w:p>
        </w:tc>
        <w:tc>
          <w:tcPr>
            <w:tcW w:w="1796" w:type="dxa"/>
            <w:gridSpan w:val="2"/>
          </w:tcPr>
          <w:p>
            <w:pPr>
              <w:pStyle w:val="TableParagraph"/>
              <w:spacing w:line="275" w:lineRule="exact"/>
              <w:ind w:left="71"/>
              <w:rPr>
                <w:b/>
                <w:sz w:val="24"/>
              </w:rPr>
            </w:pPr>
            <w:r>
              <w:rPr>
                <w:b/>
                <w:sz w:val="24"/>
              </w:rPr>
              <w:t>Homens</w:t>
            </w:r>
          </w:p>
        </w:tc>
        <w:tc>
          <w:tcPr>
            <w:tcW w:w="1794" w:type="dxa"/>
            <w:gridSpan w:val="2"/>
          </w:tcPr>
          <w:p>
            <w:pPr>
              <w:pStyle w:val="TableParagraph"/>
              <w:spacing w:line="275" w:lineRule="exact"/>
              <w:ind w:left="68"/>
              <w:rPr>
                <w:b/>
                <w:sz w:val="24"/>
              </w:rPr>
            </w:pPr>
            <w:r>
              <w:rPr>
                <w:b/>
                <w:sz w:val="24"/>
              </w:rPr>
              <w:t>Mulheres</w:t>
            </w:r>
          </w:p>
        </w:tc>
        <w:tc>
          <w:tcPr>
            <w:tcW w:w="1796" w:type="dxa"/>
            <w:gridSpan w:val="2"/>
          </w:tcPr>
          <w:p>
            <w:pPr>
              <w:pStyle w:val="TableParagraph"/>
              <w:spacing w:line="275" w:lineRule="exact"/>
              <w:rPr>
                <w:b/>
                <w:sz w:val="24"/>
              </w:rPr>
            </w:pPr>
            <w:r>
              <w:rPr>
                <w:b/>
                <w:sz w:val="24"/>
              </w:rPr>
              <w:t>Homens</w:t>
            </w:r>
          </w:p>
        </w:tc>
        <w:tc>
          <w:tcPr>
            <w:tcW w:w="1794" w:type="dxa"/>
            <w:gridSpan w:val="2"/>
          </w:tcPr>
          <w:p>
            <w:pPr>
              <w:pStyle w:val="TableParagraph"/>
              <w:spacing w:line="275" w:lineRule="exact"/>
              <w:ind w:left="66"/>
              <w:rPr>
                <w:b/>
                <w:sz w:val="24"/>
              </w:rPr>
            </w:pPr>
            <w:r>
              <w:rPr>
                <w:b/>
                <w:sz w:val="24"/>
              </w:rPr>
              <w:t>Mulheres</w:t>
            </w:r>
          </w:p>
        </w:tc>
      </w:tr>
      <w:tr>
        <w:trPr>
          <w:trHeight w:val="414" w:hRule="atLeast"/>
        </w:trPr>
        <w:tc>
          <w:tcPr>
            <w:tcW w:w="1793" w:type="dxa"/>
            <w:vMerge/>
            <w:tcBorders>
              <w:top w:val="nil"/>
            </w:tcBorders>
          </w:tcPr>
          <w:p>
            <w:pPr>
              <w:rPr>
                <w:sz w:val="2"/>
                <w:szCs w:val="2"/>
              </w:rPr>
            </w:pPr>
          </w:p>
        </w:tc>
        <w:tc>
          <w:tcPr>
            <w:tcW w:w="898" w:type="dxa"/>
          </w:tcPr>
          <w:p>
            <w:pPr>
              <w:pStyle w:val="TableParagraph"/>
              <w:spacing w:line="275" w:lineRule="exact"/>
              <w:ind w:left="71"/>
              <w:rPr>
                <w:b/>
                <w:sz w:val="24"/>
              </w:rPr>
            </w:pPr>
            <w:r>
              <w:rPr>
                <w:b/>
                <w:sz w:val="24"/>
              </w:rPr>
              <w:t>1992</w:t>
            </w:r>
          </w:p>
        </w:tc>
        <w:tc>
          <w:tcPr>
            <w:tcW w:w="898" w:type="dxa"/>
          </w:tcPr>
          <w:p>
            <w:pPr>
              <w:pStyle w:val="TableParagraph"/>
              <w:spacing w:line="275" w:lineRule="exact"/>
              <w:ind w:left="68"/>
              <w:rPr>
                <w:b/>
                <w:sz w:val="24"/>
              </w:rPr>
            </w:pPr>
            <w:r>
              <w:rPr>
                <w:b/>
                <w:sz w:val="24"/>
              </w:rPr>
              <w:t>2001</w:t>
            </w:r>
          </w:p>
        </w:tc>
        <w:tc>
          <w:tcPr>
            <w:tcW w:w="898" w:type="dxa"/>
          </w:tcPr>
          <w:p>
            <w:pPr>
              <w:pStyle w:val="TableParagraph"/>
              <w:spacing w:line="275" w:lineRule="exact"/>
              <w:ind w:left="68"/>
              <w:rPr>
                <w:b/>
                <w:sz w:val="24"/>
              </w:rPr>
            </w:pPr>
            <w:r>
              <w:rPr>
                <w:b/>
                <w:sz w:val="24"/>
              </w:rPr>
              <w:t>1992</w:t>
            </w:r>
          </w:p>
        </w:tc>
        <w:tc>
          <w:tcPr>
            <w:tcW w:w="896" w:type="dxa"/>
          </w:tcPr>
          <w:p>
            <w:pPr>
              <w:pStyle w:val="TableParagraph"/>
              <w:spacing w:line="275" w:lineRule="exact"/>
              <w:ind w:left="67"/>
              <w:rPr>
                <w:b/>
                <w:sz w:val="24"/>
              </w:rPr>
            </w:pPr>
            <w:r>
              <w:rPr>
                <w:b/>
                <w:sz w:val="24"/>
              </w:rPr>
              <w:t>2001</w:t>
            </w:r>
          </w:p>
        </w:tc>
        <w:tc>
          <w:tcPr>
            <w:tcW w:w="898" w:type="dxa"/>
          </w:tcPr>
          <w:p>
            <w:pPr>
              <w:pStyle w:val="TableParagraph"/>
              <w:spacing w:line="275" w:lineRule="exact"/>
              <w:rPr>
                <w:b/>
                <w:sz w:val="24"/>
              </w:rPr>
            </w:pPr>
            <w:r>
              <w:rPr>
                <w:b/>
                <w:sz w:val="24"/>
              </w:rPr>
              <w:t>1992</w:t>
            </w:r>
          </w:p>
        </w:tc>
        <w:tc>
          <w:tcPr>
            <w:tcW w:w="898" w:type="dxa"/>
          </w:tcPr>
          <w:p>
            <w:pPr>
              <w:pStyle w:val="TableParagraph"/>
              <w:spacing w:line="275" w:lineRule="exact"/>
              <w:ind w:left="66"/>
              <w:rPr>
                <w:b/>
                <w:sz w:val="24"/>
              </w:rPr>
            </w:pPr>
            <w:r>
              <w:rPr>
                <w:b/>
                <w:sz w:val="24"/>
              </w:rPr>
              <w:t>2001</w:t>
            </w:r>
          </w:p>
        </w:tc>
        <w:tc>
          <w:tcPr>
            <w:tcW w:w="898" w:type="dxa"/>
          </w:tcPr>
          <w:p>
            <w:pPr>
              <w:pStyle w:val="TableParagraph"/>
              <w:spacing w:line="275" w:lineRule="exact"/>
              <w:ind w:left="66"/>
              <w:rPr>
                <w:b/>
                <w:sz w:val="24"/>
              </w:rPr>
            </w:pPr>
            <w:r>
              <w:rPr>
                <w:b/>
                <w:sz w:val="24"/>
              </w:rPr>
              <w:t>1992</w:t>
            </w:r>
          </w:p>
        </w:tc>
        <w:tc>
          <w:tcPr>
            <w:tcW w:w="896" w:type="dxa"/>
          </w:tcPr>
          <w:p>
            <w:pPr>
              <w:pStyle w:val="TableParagraph"/>
              <w:spacing w:line="275" w:lineRule="exact"/>
              <w:ind w:left="66"/>
              <w:rPr>
                <w:b/>
                <w:sz w:val="24"/>
              </w:rPr>
            </w:pPr>
            <w:r>
              <w:rPr>
                <w:b/>
                <w:sz w:val="24"/>
              </w:rPr>
              <w:t>2001</w:t>
            </w:r>
          </w:p>
        </w:tc>
      </w:tr>
      <w:tr>
        <w:trPr>
          <w:trHeight w:val="827" w:hRule="atLeast"/>
        </w:trPr>
        <w:tc>
          <w:tcPr>
            <w:tcW w:w="1793" w:type="dxa"/>
          </w:tcPr>
          <w:p>
            <w:pPr>
              <w:pStyle w:val="TableParagraph"/>
              <w:spacing w:line="275" w:lineRule="exact"/>
              <w:rPr>
                <w:b/>
                <w:sz w:val="24"/>
              </w:rPr>
            </w:pPr>
            <w:r>
              <w:rPr>
                <w:b/>
                <w:sz w:val="24"/>
              </w:rPr>
              <w:t>Brasil</w:t>
            </w:r>
          </w:p>
        </w:tc>
        <w:tc>
          <w:tcPr>
            <w:tcW w:w="898" w:type="dxa"/>
          </w:tcPr>
          <w:p>
            <w:pPr>
              <w:pStyle w:val="TableParagraph"/>
              <w:spacing w:line="240" w:lineRule="auto" w:before="9"/>
              <w:ind w:left="0"/>
              <w:rPr>
                <w:b/>
                <w:sz w:val="35"/>
              </w:rPr>
            </w:pPr>
          </w:p>
          <w:p>
            <w:pPr>
              <w:pStyle w:val="TableParagraph"/>
              <w:spacing w:line="240" w:lineRule="auto"/>
              <w:ind w:left="71"/>
              <w:rPr>
                <w:b/>
                <w:sz w:val="24"/>
              </w:rPr>
            </w:pPr>
            <w:r>
              <w:rPr>
                <w:b/>
                <w:sz w:val="24"/>
              </w:rPr>
              <w:t>624,5</w:t>
            </w:r>
          </w:p>
        </w:tc>
        <w:tc>
          <w:tcPr>
            <w:tcW w:w="898" w:type="dxa"/>
          </w:tcPr>
          <w:p>
            <w:pPr>
              <w:pStyle w:val="TableParagraph"/>
              <w:spacing w:line="240" w:lineRule="auto" w:before="9"/>
              <w:ind w:left="0"/>
              <w:rPr>
                <w:b/>
                <w:sz w:val="35"/>
              </w:rPr>
            </w:pPr>
          </w:p>
          <w:p>
            <w:pPr>
              <w:pStyle w:val="TableParagraph"/>
              <w:spacing w:line="240" w:lineRule="auto"/>
              <w:ind w:left="68"/>
              <w:rPr>
                <w:b/>
                <w:sz w:val="24"/>
              </w:rPr>
            </w:pPr>
            <w:r>
              <w:rPr>
                <w:b/>
                <w:sz w:val="24"/>
              </w:rPr>
              <w:t>790,9</w:t>
            </w:r>
          </w:p>
        </w:tc>
        <w:tc>
          <w:tcPr>
            <w:tcW w:w="898" w:type="dxa"/>
          </w:tcPr>
          <w:p>
            <w:pPr>
              <w:pStyle w:val="TableParagraph"/>
              <w:spacing w:line="240" w:lineRule="auto" w:before="9"/>
              <w:ind w:left="0"/>
              <w:rPr>
                <w:b/>
                <w:sz w:val="35"/>
              </w:rPr>
            </w:pPr>
          </w:p>
          <w:p>
            <w:pPr>
              <w:pStyle w:val="TableParagraph"/>
              <w:spacing w:line="240" w:lineRule="auto"/>
              <w:ind w:left="68"/>
              <w:rPr>
                <w:b/>
                <w:sz w:val="24"/>
              </w:rPr>
            </w:pPr>
            <w:r>
              <w:rPr>
                <w:b/>
                <w:sz w:val="24"/>
              </w:rPr>
              <w:t>398,6</w:t>
            </w:r>
          </w:p>
        </w:tc>
        <w:tc>
          <w:tcPr>
            <w:tcW w:w="896" w:type="dxa"/>
          </w:tcPr>
          <w:p>
            <w:pPr>
              <w:pStyle w:val="TableParagraph"/>
              <w:spacing w:line="240" w:lineRule="auto" w:before="9"/>
              <w:ind w:left="0"/>
              <w:rPr>
                <w:b/>
                <w:sz w:val="35"/>
              </w:rPr>
            </w:pPr>
          </w:p>
          <w:p>
            <w:pPr>
              <w:pStyle w:val="TableParagraph"/>
              <w:spacing w:line="240" w:lineRule="auto"/>
              <w:ind w:left="67"/>
              <w:rPr>
                <w:b/>
                <w:sz w:val="24"/>
              </w:rPr>
            </w:pPr>
            <w:r>
              <w:rPr>
                <w:b/>
                <w:sz w:val="24"/>
              </w:rPr>
              <w:t>567,4</w:t>
            </w:r>
          </w:p>
        </w:tc>
        <w:tc>
          <w:tcPr>
            <w:tcW w:w="898" w:type="dxa"/>
          </w:tcPr>
          <w:p>
            <w:pPr>
              <w:pStyle w:val="TableParagraph"/>
              <w:spacing w:line="240" w:lineRule="auto" w:before="9"/>
              <w:ind w:left="0"/>
              <w:rPr>
                <w:b/>
                <w:sz w:val="35"/>
              </w:rPr>
            </w:pPr>
          </w:p>
          <w:p>
            <w:pPr>
              <w:pStyle w:val="TableParagraph"/>
              <w:spacing w:line="240" w:lineRule="auto"/>
              <w:rPr>
                <w:b/>
                <w:sz w:val="24"/>
              </w:rPr>
            </w:pPr>
            <w:r>
              <w:rPr>
                <w:b/>
                <w:sz w:val="24"/>
              </w:rPr>
              <w:t>294,5</w:t>
            </w:r>
          </w:p>
        </w:tc>
        <w:tc>
          <w:tcPr>
            <w:tcW w:w="898" w:type="dxa"/>
          </w:tcPr>
          <w:p>
            <w:pPr>
              <w:pStyle w:val="TableParagraph"/>
              <w:spacing w:line="240" w:lineRule="auto" w:before="9"/>
              <w:ind w:left="0"/>
              <w:rPr>
                <w:b/>
                <w:sz w:val="35"/>
              </w:rPr>
            </w:pPr>
          </w:p>
          <w:p>
            <w:pPr>
              <w:pStyle w:val="TableParagraph"/>
              <w:spacing w:line="240" w:lineRule="auto"/>
              <w:ind w:left="66"/>
              <w:rPr>
                <w:b/>
                <w:sz w:val="24"/>
              </w:rPr>
            </w:pPr>
            <w:r>
              <w:rPr>
                <w:b/>
                <w:sz w:val="24"/>
              </w:rPr>
              <w:t>360,5</w:t>
            </w:r>
          </w:p>
        </w:tc>
        <w:tc>
          <w:tcPr>
            <w:tcW w:w="898" w:type="dxa"/>
          </w:tcPr>
          <w:p>
            <w:pPr>
              <w:pStyle w:val="TableParagraph"/>
              <w:spacing w:line="240" w:lineRule="auto" w:before="9"/>
              <w:ind w:left="0"/>
              <w:rPr>
                <w:b/>
                <w:sz w:val="35"/>
              </w:rPr>
            </w:pPr>
          </w:p>
          <w:p>
            <w:pPr>
              <w:pStyle w:val="TableParagraph"/>
              <w:spacing w:line="240" w:lineRule="auto"/>
              <w:ind w:left="66"/>
              <w:rPr>
                <w:b/>
                <w:sz w:val="24"/>
              </w:rPr>
            </w:pPr>
            <w:r>
              <w:rPr>
                <w:b/>
                <w:sz w:val="24"/>
              </w:rPr>
              <w:t>194,0</w:t>
            </w:r>
          </w:p>
        </w:tc>
        <w:tc>
          <w:tcPr>
            <w:tcW w:w="896" w:type="dxa"/>
          </w:tcPr>
          <w:p>
            <w:pPr>
              <w:pStyle w:val="TableParagraph"/>
              <w:spacing w:line="240" w:lineRule="auto" w:before="9"/>
              <w:ind w:left="0"/>
              <w:rPr>
                <w:b/>
                <w:sz w:val="35"/>
              </w:rPr>
            </w:pPr>
          </w:p>
          <w:p>
            <w:pPr>
              <w:pStyle w:val="TableParagraph"/>
              <w:spacing w:line="240" w:lineRule="auto"/>
              <w:ind w:left="65"/>
              <w:rPr>
                <w:b/>
                <w:sz w:val="24"/>
              </w:rPr>
            </w:pPr>
            <w:r>
              <w:rPr>
                <w:b/>
                <w:sz w:val="24"/>
              </w:rPr>
              <w:t>284,2</w:t>
            </w:r>
          </w:p>
        </w:tc>
      </w:tr>
      <w:tr>
        <w:trPr>
          <w:trHeight w:val="827" w:hRule="atLeast"/>
        </w:trPr>
        <w:tc>
          <w:tcPr>
            <w:tcW w:w="1793" w:type="dxa"/>
          </w:tcPr>
          <w:p>
            <w:pPr>
              <w:pStyle w:val="TableParagraph"/>
              <w:rPr>
                <w:sz w:val="24"/>
              </w:rPr>
            </w:pPr>
            <w:r>
              <w:rPr>
                <w:sz w:val="24"/>
              </w:rPr>
              <w:t>Norte</w:t>
            </w:r>
          </w:p>
        </w:tc>
        <w:tc>
          <w:tcPr>
            <w:tcW w:w="898" w:type="dxa"/>
          </w:tcPr>
          <w:p>
            <w:pPr>
              <w:pStyle w:val="TableParagraph"/>
              <w:spacing w:line="240" w:lineRule="auto" w:before="4"/>
              <w:ind w:left="0"/>
              <w:rPr>
                <w:b/>
                <w:sz w:val="35"/>
              </w:rPr>
            </w:pPr>
          </w:p>
          <w:p>
            <w:pPr>
              <w:pStyle w:val="TableParagraph"/>
              <w:spacing w:line="240" w:lineRule="auto"/>
              <w:ind w:left="71"/>
              <w:rPr>
                <w:sz w:val="24"/>
              </w:rPr>
            </w:pPr>
            <w:r>
              <w:rPr>
                <w:sz w:val="24"/>
              </w:rPr>
              <w:t>604,6</w:t>
            </w:r>
          </w:p>
        </w:tc>
        <w:tc>
          <w:tcPr>
            <w:tcW w:w="898" w:type="dxa"/>
          </w:tcPr>
          <w:p>
            <w:pPr>
              <w:pStyle w:val="TableParagraph"/>
              <w:spacing w:line="240" w:lineRule="auto" w:before="4"/>
              <w:ind w:left="0"/>
              <w:rPr>
                <w:b/>
                <w:sz w:val="35"/>
              </w:rPr>
            </w:pPr>
          </w:p>
          <w:p>
            <w:pPr>
              <w:pStyle w:val="TableParagraph"/>
              <w:spacing w:line="240" w:lineRule="auto"/>
              <w:ind w:left="68"/>
              <w:rPr>
                <w:sz w:val="24"/>
              </w:rPr>
            </w:pPr>
            <w:r>
              <w:rPr>
                <w:sz w:val="24"/>
              </w:rPr>
              <w:t>795,7</w:t>
            </w:r>
          </w:p>
        </w:tc>
        <w:tc>
          <w:tcPr>
            <w:tcW w:w="898" w:type="dxa"/>
          </w:tcPr>
          <w:p>
            <w:pPr>
              <w:pStyle w:val="TableParagraph"/>
              <w:spacing w:line="240" w:lineRule="auto" w:before="4"/>
              <w:ind w:left="0"/>
              <w:rPr>
                <w:b/>
                <w:sz w:val="35"/>
              </w:rPr>
            </w:pPr>
          </w:p>
          <w:p>
            <w:pPr>
              <w:pStyle w:val="TableParagraph"/>
              <w:spacing w:line="240" w:lineRule="auto"/>
              <w:ind w:left="68"/>
              <w:rPr>
                <w:sz w:val="24"/>
              </w:rPr>
            </w:pPr>
            <w:r>
              <w:rPr>
                <w:sz w:val="24"/>
              </w:rPr>
              <w:t>424,2</w:t>
            </w:r>
          </w:p>
        </w:tc>
        <w:tc>
          <w:tcPr>
            <w:tcW w:w="896" w:type="dxa"/>
          </w:tcPr>
          <w:p>
            <w:pPr>
              <w:pStyle w:val="TableParagraph"/>
              <w:spacing w:line="240" w:lineRule="auto" w:before="4"/>
              <w:ind w:left="0"/>
              <w:rPr>
                <w:b/>
                <w:sz w:val="35"/>
              </w:rPr>
            </w:pPr>
          </w:p>
          <w:p>
            <w:pPr>
              <w:pStyle w:val="TableParagraph"/>
              <w:spacing w:line="240" w:lineRule="auto"/>
              <w:ind w:left="67"/>
              <w:rPr>
                <w:sz w:val="24"/>
              </w:rPr>
            </w:pPr>
            <w:r>
              <w:rPr>
                <w:sz w:val="24"/>
              </w:rPr>
              <w:t>575,1</w:t>
            </w:r>
          </w:p>
        </w:tc>
        <w:tc>
          <w:tcPr>
            <w:tcW w:w="898" w:type="dxa"/>
          </w:tcPr>
          <w:p>
            <w:pPr>
              <w:pStyle w:val="TableParagraph"/>
              <w:spacing w:line="240" w:lineRule="auto" w:before="4"/>
              <w:ind w:left="0"/>
              <w:rPr>
                <w:b/>
                <w:sz w:val="35"/>
              </w:rPr>
            </w:pPr>
          </w:p>
          <w:p>
            <w:pPr>
              <w:pStyle w:val="TableParagraph"/>
              <w:spacing w:line="240" w:lineRule="auto"/>
              <w:rPr>
                <w:sz w:val="24"/>
              </w:rPr>
            </w:pPr>
            <w:r>
              <w:rPr>
                <w:sz w:val="24"/>
              </w:rPr>
              <w:t>348,2</w:t>
            </w:r>
          </w:p>
        </w:tc>
        <w:tc>
          <w:tcPr>
            <w:tcW w:w="898" w:type="dxa"/>
          </w:tcPr>
          <w:p>
            <w:pPr>
              <w:pStyle w:val="TableParagraph"/>
              <w:spacing w:line="240" w:lineRule="auto" w:before="4"/>
              <w:ind w:left="0"/>
              <w:rPr>
                <w:b/>
                <w:sz w:val="35"/>
              </w:rPr>
            </w:pPr>
          </w:p>
          <w:p>
            <w:pPr>
              <w:pStyle w:val="TableParagraph"/>
              <w:spacing w:line="240" w:lineRule="auto"/>
              <w:ind w:left="66"/>
              <w:rPr>
                <w:sz w:val="24"/>
              </w:rPr>
            </w:pPr>
            <w:r>
              <w:rPr>
                <w:sz w:val="24"/>
              </w:rPr>
              <w:t>454,0</w:t>
            </w:r>
          </w:p>
        </w:tc>
        <w:tc>
          <w:tcPr>
            <w:tcW w:w="898" w:type="dxa"/>
          </w:tcPr>
          <w:p>
            <w:pPr>
              <w:pStyle w:val="TableParagraph"/>
              <w:spacing w:line="240" w:lineRule="auto" w:before="4"/>
              <w:ind w:left="0"/>
              <w:rPr>
                <w:b/>
                <w:sz w:val="35"/>
              </w:rPr>
            </w:pPr>
          </w:p>
          <w:p>
            <w:pPr>
              <w:pStyle w:val="TableParagraph"/>
              <w:spacing w:line="240" w:lineRule="auto"/>
              <w:ind w:left="66"/>
              <w:rPr>
                <w:sz w:val="24"/>
              </w:rPr>
            </w:pPr>
            <w:r>
              <w:rPr>
                <w:sz w:val="24"/>
              </w:rPr>
              <w:t>255,7</w:t>
            </w:r>
          </w:p>
        </w:tc>
        <w:tc>
          <w:tcPr>
            <w:tcW w:w="896" w:type="dxa"/>
          </w:tcPr>
          <w:p>
            <w:pPr>
              <w:pStyle w:val="TableParagraph"/>
              <w:spacing w:line="240" w:lineRule="auto" w:before="4"/>
              <w:ind w:left="0"/>
              <w:rPr>
                <w:b/>
                <w:sz w:val="35"/>
              </w:rPr>
            </w:pPr>
          </w:p>
          <w:p>
            <w:pPr>
              <w:pStyle w:val="TableParagraph"/>
              <w:spacing w:line="240" w:lineRule="auto"/>
              <w:ind w:left="65"/>
              <w:rPr>
                <w:sz w:val="24"/>
              </w:rPr>
            </w:pPr>
            <w:r>
              <w:rPr>
                <w:sz w:val="24"/>
              </w:rPr>
              <w:t>328,4</w:t>
            </w:r>
          </w:p>
        </w:tc>
      </w:tr>
      <w:tr>
        <w:trPr>
          <w:trHeight w:val="825" w:hRule="atLeast"/>
        </w:trPr>
        <w:tc>
          <w:tcPr>
            <w:tcW w:w="1793" w:type="dxa"/>
          </w:tcPr>
          <w:p>
            <w:pPr>
              <w:pStyle w:val="TableParagraph"/>
              <w:rPr>
                <w:sz w:val="24"/>
              </w:rPr>
            </w:pPr>
            <w:r>
              <w:rPr>
                <w:sz w:val="24"/>
              </w:rPr>
              <w:t>Nordeste</w:t>
            </w:r>
          </w:p>
        </w:tc>
        <w:tc>
          <w:tcPr>
            <w:tcW w:w="898" w:type="dxa"/>
          </w:tcPr>
          <w:p>
            <w:pPr>
              <w:pStyle w:val="TableParagraph"/>
              <w:spacing w:line="240" w:lineRule="auto" w:before="4"/>
              <w:ind w:left="0"/>
              <w:rPr>
                <w:b/>
                <w:sz w:val="35"/>
              </w:rPr>
            </w:pPr>
          </w:p>
          <w:p>
            <w:pPr>
              <w:pStyle w:val="TableParagraph"/>
              <w:spacing w:line="240" w:lineRule="auto"/>
              <w:ind w:left="71"/>
              <w:rPr>
                <w:sz w:val="24"/>
              </w:rPr>
            </w:pPr>
            <w:r>
              <w:rPr>
                <w:sz w:val="24"/>
              </w:rPr>
              <w:t>398,9</w:t>
            </w:r>
          </w:p>
        </w:tc>
        <w:tc>
          <w:tcPr>
            <w:tcW w:w="898" w:type="dxa"/>
          </w:tcPr>
          <w:p>
            <w:pPr>
              <w:pStyle w:val="TableParagraph"/>
              <w:spacing w:line="240" w:lineRule="auto" w:before="4"/>
              <w:ind w:left="0"/>
              <w:rPr>
                <w:b/>
                <w:sz w:val="35"/>
              </w:rPr>
            </w:pPr>
          </w:p>
          <w:p>
            <w:pPr>
              <w:pStyle w:val="TableParagraph"/>
              <w:spacing w:line="240" w:lineRule="auto"/>
              <w:ind w:left="68"/>
              <w:rPr>
                <w:sz w:val="24"/>
              </w:rPr>
            </w:pPr>
            <w:r>
              <w:rPr>
                <w:sz w:val="24"/>
              </w:rPr>
              <w:t>514,3</w:t>
            </w:r>
          </w:p>
        </w:tc>
        <w:tc>
          <w:tcPr>
            <w:tcW w:w="898" w:type="dxa"/>
          </w:tcPr>
          <w:p>
            <w:pPr>
              <w:pStyle w:val="TableParagraph"/>
              <w:spacing w:line="240" w:lineRule="auto" w:before="4"/>
              <w:ind w:left="0"/>
              <w:rPr>
                <w:b/>
                <w:sz w:val="35"/>
              </w:rPr>
            </w:pPr>
          </w:p>
          <w:p>
            <w:pPr>
              <w:pStyle w:val="TableParagraph"/>
              <w:spacing w:line="240" w:lineRule="auto"/>
              <w:ind w:left="68"/>
              <w:rPr>
                <w:sz w:val="24"/>
              </w:rPr>
            </w:pPr>
            <w:r>
              <w:rPr>
                <w:sz w:val="24"/>
              </w:rPr>
              <w:t>274,4</w:t>
            </w:r>
          </w:p>
        </w:tc>
        <w:tc>
          <w:tcPr>
            <w:tcW w:w="896" w:type="dxa"/>
          </w:tcPr>
          <w:p>
            <w:pPr>
              <w:pStyle w:val="TableParagraph"/>
              <w:spacing w:line="240" w:lineRule="auto" w:before="4"/>
              <w:ind w:left="0"/>
              <w:rPr>
                <w:b/>
                <w:sz w:val="35"/>
              </w:rPr>
            </w:pPr>
          </w:p>
          <w:p>
            <w:pPr>
              <w:pStyle w:val="TableParagraph"/>
              <w:spacing w:line="240" w:lineRule="auto"/>
              <w:ind w:left="67"/>
              <w:rPr>
                <w:sz w:val="24"/>
              </w:rPr>
            </w:pPr>
            <w:r>
              <w:rPr>
                <w:sz w:val="24"/>
              </w:rPr>
              <w:t>383,7</w:t>
            </w:r>
          </w:p>
        </w:tc>
        <w:tc>
          <w:tcPr>
            <w:tcW w:w="898" w:type="dxa"/>
          </w:tcPr>
          <w:p>
            <w:pPr>
              <w:pStyle w:val="TableParagraph"/>
              <w:spacing w:line="240" w:lineRule="auto" w:before="4"/>
              <w:ind w:left="0"/>
              <w:rPr>
                <w:b/>
                <w:sz w:val="35"/>
              </w:rPr>
            </w:pPr>
          </w:p>
          <w:p>
            <w:pPr>
              <w:pStyle w:val="TableParagraph"/>
              <w:spacing w:line="240" w:lineRule="auto"/>
              <w:rPr>
                <w:sz w:val="24"/>
              </w:rPr>
            </w:pPr>
            <w:r>
              <w:rPr>
                <w:sz w:val="24"/>
              </w:rPr>
              <w:t>214,9</w:t>
            </w:r>
          </w:p>
        </w:tc>
        <w:tc>
          <w:tcPr>
            <w:tcW w:w="898" w:type="dxa"/>
          </w:tcPr>
          <w:p>
            <w:pPr>
              <w:pStyle w:val="TableParagraph"/>
              <w:spacing w:line="240" w:lineRule="auto" w:before="4"/>
              <w:ind w:left="0"/>
              <w:rPr>
                <w:b/>
                <w:sz w:val="35"/>
              </w:rPr>
            </w:pPr>
          </w:p>
          <w:p>
            <w:pPr>
              <w:pStyle w:val="TableParagraph"/>
              <w:spacing w:line="240" w:lineRule="auto"/>
              <w:ind w:left="66"/>
              <w:rPr>
                <w:sz w:val="24"/>
              </w:rPr>
            </w:pPr>
            <w:r>
              <w:rPr>
                <w:sz w:val="24"/>
              </w:rPr>
              <w:t>255,9</w:t>
            </w:r>
          </w:p>
        </w:tc>
        <w:tc>
          <w:tcPr>
            <w:tcW w:w="898" w:type="dxa"/>
          </w:tcPr>
          <w:p>
            <w:pPr>
              <w:pStyle w:val="TableParagraph"/>
              <w:spacing w:line="240" w:lineRule="auto" w:before="4"/>
              <w:ind w:left="0"/>
              <w:rPr>
                <w:b/>
                <w:sz w:val="35"/>
              </w:rPr>
            </w:pPr>
          </w:p>
          <w:p>
            <w:pPr>
              <w:pStyle w:val="TableParagraph"/>
              <w:spacing w:line="240" w:lineRule="auto"/>
              <w:ind w:left="66"/>
              <w:rPr>
                <w:sz w:val="24"/>
              </w:rPr>
            </w:pPr>
            <w:r>
              <w:rPr>
                <w:sz w:val="24"/>
              </w:rPr>
              <w:t>135,3</w:t>
            </w:r>
          </w:p>
        </w:tc>
        <w:tc>
          <w:tcPr>
            <w:tcW w:w="896" w:type="dxa"/>
          </w:tcPr>
          <w:p>
            <w:pPr>
              <w:pStyle w:val="TableParagraph"/>
              <w:spacing w:line="240" w:lineRule="auto" w:before="4"/>
              <w:ind w:left="0"/>
              <w:rPr>
                <w:b/>
                <w:sz w:val="35"/>
              </w:rPr>
            </w:pPr>
          </w:p>
          <w:p>
            <w:pPr>
              <w:pStyle w:val="TableParagraph"/>
              <w:spacing w:line="240" w:lineRule="auto"/>
              <w:ind w:left="65"/>
              <w:rPr>
                <w:sz w:val="24"/>
              </w:rPr>
            </w:pPr>
            <w:r>
              <w:rPr>
                <w:sz w:val="24"/>
              </w:rPr>
              <w:t>205,0</w:t>
            </w:r>
          </w:p>
        </w:tc>
      </w:tr>
      <w:tr>
        <w:trPr>
          <w:trHeight w:val="827" w:hRule="atLeast"/>
        </w:trPr>
        <w:tc>
          <w:tcPr>
            <w:tcW w:w="1793" w:type="dxa"/>
          </w:tcPr>
          <w:p>
            <w:pPr>
              <w:pStyle w:val="TableParagraph"/>
              <w:rPr>
                <w:sz w:val="24"/>
              </w:rPr>
            </w:pPr>
            <w:r>
              <w:rPr>
                <w:sz w:val="24"/>
              </w:rPr>
              <w:t>Sudeste</w:t>
            </w:r>
          </w:p>
        </w:tc>
        <w:tc>
          <w:tcPr>
            <w:tcW w:w="898" w:type="dxa"/>
          </w:tcPr>
          <w:p>
            <w:pPr>
              <w:pStyle w:val="TableParagraph"/>
              <w:spacing w:line="240" w:lineRule="auto" w:before="6"/>
              <w:ind w:left="0"/>
              <w:rPr>
                <w:b/>
                <w:sz w:val="35"/>
              </w:rPr>
            </w:pPr>
          </w:p>
          <w:p>
            <w:pPr>
              <w:pStyle w:val="TableParagraph"/>
              <w:spacing w:line="240" w:lineRule="auto" w:before="1"/>
              <w:ind w:left="71"/>
              <w:rPr>
                <w:sz w:val="24"/>
              </w:rPr>
            </w:pPr>
            <w:r>
              <w:rPr>
                <w:sz w:val="24"/>
              </w:rPr>
              <w:t>726,5</w:t>
            </w:r>
          </w:p>
        </w:tc>
        <w:tc>
          <w:tcPr>
            <w:tcW w:w="898" w:type="dxa"/>
          </w:tcPr>
          <w:p>
            <w:pPr>
              <w:pStyle w:val="TableParagraph"/>
              <w:spacing w:line="240" w:lineRule="auto" w:before="6"/>
              <w:ind w:left="0"/>
              <w:rPr>
                <w:b/>
                <w:sz w:val="35"/>
              </w:rPr>
            </w:pPr>
          </w:p>
          <w:p>
            <w:pPr>
              <w:pStyle w:val="TableParagraph"/>
              <w:spacing w:line="240" w:lineRule="auto" w:before="1"/>
              <w:ind w:left="68"/>
              <w:rPr>
                <w:sz w:val="24"/>
              </w:rPr>
            </w:pPr>
            <w:r>
              <w:rPr>
                <w:sz w:val="24"/>
              </w:rPr>
              <w:t>922,1</w:t>
            </w:r>
          </w:p>
        </w:tc>
        <w:tc>
          <w:tcPr>
            <w:tcW w:w="898" w:type="dxa"/>
          </w:tcPr>
          <w:p>
            <w:pPr>
              <w:pStyle w:val="TableParagraph"/>
              <w:spacing w:line="240" w:lineRule="auto" w:before="6"/>
              <w:ind w:left="0"/>
              <w:rPr>
                <w:b/>
                <w:sz w:val="35"/>
              </w:rPr>
            </w:pPr>
          </w:p>
          <w:p>
            <w:pPr>
              <w:pStyle w:val="TableParagraph"/>
              <w:spacing w:line="240" w:lineRule="auto" w:before="1"/>
              <w:ind w:left="68"/>
              <w:rPr>
                <w:sz w:val="24"/>
              </w:rPr>
            </w:pPr>
            <w:r>
              <w:rPr>
                <w:sz w:val="24"/>
              </w:rPr>
              <w:t>490,3</w:t>
            </w:r>
          </w:p>
        </w:tc>
        <w:tc>
          <w:tcPr>
            <w:tcW w:w="896" w:type="dxa"/>
          </w:tcPr>
          <w:p>
            <w:pPr>
              <w:pStyle w:val="TableParagraph"/>
              <w:spacing w:line="240" w:lineRule="auto" w:before="6"/>
              <w:ind w:left="0"/>
              <w:rPr>
                <w:b/>
                <w:sz w:val="35"/>
              </w:rPr>
            </w:pPr>
          </w:p>
          <w:p>
            <w:pPr>
              <w:pStyle w:val="TableParagraph"/>
              <w:spacing w:line="240" w:lineRule="auto" w:before="1"/>
              <w:ind w:left="67"/>
              <w:rPr>
                <w:sz w:val="24"/>
              </w:rPr>
            </w:pPr>
            <w:r>
              <w:rPr>
                <w:sz w:val="24"/>
              </w:rPr>
              <w:t>678,6</w:t>
            </w:r>
          </w:p>
        </w:tc>
        <w:tc>
          <w:tcPr>
            <w:tcW w:w="898" w:type="dxa"/>
          </w:tcPr>
          <w:p>
            <w:pPr>
              <w:pStyle w:val="TableParagraph"/>
              <w:spacing w:line="240" w:lineRule="auto" w:before="6"/>
              <w:ind w:left="0"/>
              <w:rPr>
                <w:b/>
                <w:sz w:val="35"/>
              </w:rPr>
            </w:pPr>
          </w:p>
          <w:p>
            <w:pPr>
              <w:pStyle w:val="TableParagraph"/>
              <w:spacing w:line="240" w:lineRule="auto" w:before="1"/>
              <w:rPr>
                <w:sz w:val="24"/>
              </w:rPr>
            </w:pPr>
            <w:r>
              <w:rPr>
                <w:sz w:val="24"/>
              </w:rPr>
              <w:t>380,2</w:t>
            </w:r>
          </w:p>
        </w:tc>
        <w:tc>
          <w:tcPr>
            <w:tcW w:w="898" w:type="dxa"/>
          </w:tcPr>
          <w:p>
            <w:pPr>
              <w:pStyle w:val="TableParagraph"/>
              <w:spacing w:line="240" w:lineRule="auto" w:before="6"/>
              <w:ind w:left="0"/>
              <w:rPr>
                <w:b/>
                <w:sz w:val="35"/>
              </w:rPr>
            </w:pPr>
          </w:p>
          <w:p>
            <w:pPr>
              <w:pStyle w:val="TableParagraph"/>
              <w:spacing w:line="240" w:lineRule="auto" w:before="1"/>
              <w:ind w:left="66"/>
              <w:rPr>
                <w:sz w:val="24"/>
              </w:rPr>
            </w:pPr>
            <w:r>
              <w:rPr>
                <w:sz w:val="24"/>
              </w:rPr>
              <w:t>439,6</w:t>
            </w:r>
          </w:p>
        </w:tc>
        <w:tc>
          <w:tcPr>
            <w:tcW w:w="898" w:type="dxa"/>
          </w:tcPr>
          <w:p>
            <w:pPr>
              <w:pStyle w:val="TableParagraph"/>
              <w:spacing w:line="240" w:lineRule="auto" w:before="6"/>
              <w:ind w:left="0"/>
              <w:rPr>
                <w:b/>
                <w:sz w:val="35"/>
              </w:rPr>
            </w:pPr>
          </w:p>
          <w:p>
            <w:pPr>
              <w:pStyle w:val="TableParagraph"/>
              <w:spacing w:line="240" w:lineRule="auto" w:before="1"/>
              <w:ind w:left="66"/>
              <w:rPr>
                <w:sz w:val="24"/>
              </w:rPr>
            </w:pPr>
            <w:r>
              <w:rPr>
                <w:sz w:val="24"/>
              </w:rPr>
              <w:t>249,9</w:t>
            </w:r>
          </w:p>
        </w:tc>
        <w:tc>
          <w:tcPr>
            <w:tcW w:w="896" w:type="dxa"/>
          </w:tcPr>
          <w:p>
            <w:pPr>
              <w:pStyle w:val="TableParagraph"/>
              <w:spacing w:line="240" w:lineRule="auto" w:before="6"/>
              <w:ind w:left="0"/>
              <w:rPr>
                <w:b/>
                <w:sz w:val="35"/>
              </w:rPr>
            </w:pPr>
          </w:p>
          <w:p>
            <w:pPr>
              <w:pStyle w:val="TableParagraph"/>
              <w:spacing w:line="240" w:lineRule="auto" w:before="1"/>
              <w:ind w:left="65"/>
              <w:rPr>
                <w:sz w:val="24"/>
              </w:rPr>
            </w:pPr>
            <w:r>
              <w:rPr>
                <w:sz w:val="24"/>
              </w:rPr>
              <w:t>352,5</w:t>
            </w:r>
          </w:p>
        </w:tc>
      </w:tr>
      <w:tr>
        <w:trPr>
          <w:trHeight w:val="827" w:hRule="atLeast"/>
        </w:trPr>
        <w:tc>
          <w:tcPr>
            <w:tcW w:w="1793" w:type="dxa"/>
          </w:tcPr>
          <w:p>
            <w:pPr>
              <w:pStyle w:val="TableParagraph"/>
              <w:rPr>
                <w:sz w:val="24"/>
              </w:rPr>
            </w:pPr>
            <w:r>
              <w:rPr>
                <w:sz w:val="24"/>
              </w:rPr>
              <w:t>Sul</w:t>
            </w:r>
          </w:p>
        </w:tc>
        <w:tc>
          <w:tcPr>
            <w:tcW w:w="898" w:type="dxa"/>
          </w:tcPr>
          <w:p>
            <w:pPr>
              <w:pStyle w:val="TableParagraph"/>
              <w:spacing w:line="240" w:lineRule="auto" w:before="6"/>
              <w:ind w:left="0"/>
              <w:rPr>
                <w:b/>
                <w:sz w:val="35"/>
              </w:rPr>
            </w:pPr>
          </w:p>
          <w:p>
            <w:pPr>
              <w:pStyle w:val="TableParagraph"/>
              <w:spacing w:line="240" w:lineRule="auto" w:before="1"/>
              <w:ind w:left="71"/>
              <w:rPr>
                <w:sz w:val="24"/>
              </w:rPr>
            </w:pPr>
            <w:r>
              <w:rPr>
                <w:sz w:val="24"/>
              </w:rPr>
              <w:t>541,1</w:t>
            </w:r>
          </w:p>
        </w:tc>
        <w:tc>
          <w:tcPr>
            <w:tcW w:w="898" w:type="dxa"/>
          </w:tcPr>
          <w:p>
            <w:pPr>
              <w:pStyle w:val="TableParagraph"/>
              <w:spacing w:line="240" w:lineRule="auto" w:before="6"/>
              <w:ind w:left="0"/>
              <w:rPr>
                <w:b/>
                <w:sz w:val="35"/>
              </w:rPr>
            </w:pPr>
          </w:p>
          <w:p>
            <w:pPr>
              <w:pStyle w:val="TableParagraph"/>
              <w:spacing w:line="240" w:lineRule="auto" w:before="1"/>
              <w:ind w:left="68"/>
              <w:rPr>
                <w:sz w:val="24"/>
              </w:rPr>
            </w:pPr>
            <w:r>
              <w:rPr>
                <w:sz w:val="24"/>
              </w:rPr>
              <w:t>656,7</w:t>
            </w:r>
          </w:p>
        </w:tc>
        <w:tc>
          <w:tcPr>
            <w:tcW w:w="898" w:type="dxa"/>
          </w:tcPr>
          <w:p>
            <w:pPr>
              <w:pStyle w:val="TableParagraph"/>
              <w:spacing w:line="240" w:lineRule="auto" w:before="6"/>
              <w:ind w:left="0"/>
              <w:rPr>
                <w:b/>
                <w:sz w:val="35"/>
              </w:rPr>
            </w:pPr>
          </w:p>
          <w:p>
            <w:pPr>
              <w:pStyle w:val="TableParagraph"/>
              <w:spacing w:line="240" w:lineRule="auto" w:before="1"/>
              <w:ind w:left="68"/>
              <w:rPr>
                <w:sz w:val="24"/>
              </w:rPr>
            </w:pPr>
            <w:r>
              <w:rPr>
                <w:sz w:val="24"/>
              </w:rPr>
              <w:t>299,9</w:t>
            </w:r>
          </w:p>
        </w:tc>
        <w:tc>
          <w:tcPr>
            <w:tcW w:w="896" w:type="dxa"/>
          </w:tcPr>
          <w:p>
            <w:pPr>
              <w:pStyle w:val="TableParagraph"/>
              <w:spacing w:line="240" w:lineRule="auto" w:before="6"/>
              <w:ind w:left="0"/>
              <w:rPr>
                <w:b/>
                <w:sz w:val="35"/>
              </w:rPr>
            </w:pPr>
          </w:p>
          <w:p>
            <w:pPr>
              <w:pStyle w:val="TableParagraph"/>
              <w:spacing w:line="240" w:lineRule="auto" w:before="1"/>
              <w:ind w:left="67"/>
              <w:rPr>
                <w:sz w:val="24"/>
              </w:rPr>
            </w:pPr>
            <w:r>
              <w:rPr>
                <w:sz w:val="24"/>
              </w:rPr>
              <w:t>439,9</w:t>
            </w:r>
          </w:p>
        </w:tc>
        <w:tc>
          <w:tcPr>
            <w:tcW w:w="898" w:type="dxa"/>
          </w:tcPr>
          <w:p>
            <w:pPr>
              <w:pStyle w:val="TableParagraph"/>
              <w:spacing w:line="240" w:lineRule="auto" w:before="6"/>
              <w:ind w:left="0"/>
              <w:rPr>
                <w:b/>
                <w:sz w:val="35"/>
              </w:rPr>
            </w:pPr>
          </w:p>
          <w:p>
            <w:pPr>
              <w:pStyle w:val="TableParagraph"/>
              <w:spacing w:line="240" w:lineRule="auto" w:before="1"/>
              <w:rPr>
                <w:sz w:val="24"/>
              </w:rPr>
            </w:pPr>
            <w:r>
              <w:rPr>
                <w:sz w:val="24"/>
              </w:rPr>
              <w:t>290,2</w:t>
            </w:r>
          </w:p>
        </w:tc>
        <w:tc>
          <w:tcPr>
            <w:tcW w:w="898" w:type="dxa"/>
          </w:tcPr>
          <w:p>
            <w:pPr>
              <w:pStyle w:val="TableParagraph"/>
              <w:spacing w:line="240" w:lineRule="auto" w:before="6"/>
              <w:ind w:left="0"/>
              <w:rPr>
                <w:b/>
                <w:sz w:val="35"/>
              </w:rPr>
            </w:pPr>
          </w:p>
          <w:p>
            <w:pPr>
              <w:pStyle w:val="TableParagraph"/>
              <w:spacing w:line="240" w:lineRule="auto" w:before="1"/>
              <w:ind w:left="66"/>
              <w:rPr>
                <w:sz w:val="24"/>
              </w:rPr>
            </w:pPr>
            <w:r>
              <w:rPr>
                <w:sz w:val="24"/>
              </w:rPr>
              <w:t>377,3</w:t>
            </w:r>
          </w:p>
        </w:tc>
        <w:tc>
          <w:tcPr>
            <w:tcW w:w="898" w:type="dxa"/>
          </w:tcPr>
          <w:p>
            <w:pPr>
              <w:pStyle w:val="TableParagraph"/>
              <w:spacing w:line="240" w:lineRule="auto" w:before="6"/>
              <w:ind w:left="0"/>
              <w:rPr>
                <w:b/>
                <w:sz w:val="35"/>
              </w:rPr>
            </w:pPr>
          </w:p>
          <w:p>
            <w:pPr>
              <w:pStyle w:val="TableParagraph"/>
              <w:spacing w:line="240" w:lineRule="auto" w:before="1"/>
              <w:ind w:left="66"/>
              <w:rPr>
                <w:sz w:val="24"/>
              </w:rPr>
            </w:pPr>
            <w:r>
              <w:rPr>
                <w:sz w:val="24"/>
              </w:rPr>
              <w:t>196,2</w:t>
            </w:r>
          </w:p>
        </w:tc>
        <w:tc>
          <w:tcPr>
            <w:tcW w:w="896" w:type="dxa"/>
          </w:tcPr>
          <w:p>
            <w:pPr>
              <w:pStyle w:val="TableParagraph"/>
              <w:spacing w:line="240" w:lineRule="auto" w:before="6"/>
              <w:ind w:left="0"/>
              <w:rPr>
                <w:b/>
                <w:sz w:val="35"/>
              </w:rPr>
            </w:pPr>
          </w:p>
          <w:p>
            <w:pPr>
              <w:pStyle w:val="TableParagraph"/>
              <w:spacing w:line="240" w:lineRule="auto" w:before="1"/>
              <w:ind w:left="65"/>
              <w:rPr>
                <w:sz w:val="24"/>
              </w:rPr>
            </w:pPr>
            <w:r>
              <w:rPr>
                <w:sz w:val="24"/>
              </w:rPr>
              <w:t>278,9</w:t>
            </w:r>
          </w:p>
        </w:tc>
      </w:tr>
      <w:tr>
        <w:trPr>
          <w:trHeight w:val="827" w:hRule="atLeast"/>
        </w:trPr>
        <w:tc>
          <w:tcPr>
            <w:tcW w:w="1793" w:type="dxa"/>
          </w:tcPr>
          <w:p>
            <w:pPr>
              <w:pStyle w:val="TableParagraph"/>
              <w:rPr>
                <w:sz w:val="24"/>
              </w:rPr>
            </w:pPr>
            <w:r>
              <w:rPr>
                <w:sz w:val="24"/>
              </w:rPr>
              <w:t>Centro-Oeste</w:t>
            </w:r>
          </w:p>
        </w:tc>
        <w:tc>
          <w:tcPr>
            <w:tcW w:w="898" w:type="dxa"/>
          </w:tcPr>
          <w:p>
            <w:pPr>
              <w:pStyle w:val="TableParagraph"/>
              <w:spacing w:line="240" w:lineRule="auto" w:before="4"/>
              <w:ind w:left="0"/>
              <w:rPr>
                <w:b/>
                <w:sz w:val="35"/>
              </w:rPr>
            </w:pPr>
          </w:p>
          <w:p>
            <w:pPr>
              <w:pStyle w:val="TableParagraph"/>
              <w:spacing w:line="240" w:lineRule="auto"/>
              <w:ind w:left="71"/>
              <w:rPr>
                <w:sz w:val="24"/>
              </w:rPr>
            </w:pPr>
            <w:r>
              <w:rPr>
                <w:sz w:val="24"/>
              </w:rPr>
              <w:t>638,6</w:t>
            </w:r>
          </w:p>
        </w:tc>
        <w:tc>
          <w:tcPr>
            <w:tcW w:w="898" w:type="dxa"/>
          </w:tcPr>
          <w:p>
            <w:pPr>
              <w:pStyle w:val="TableParagraph"/>
              <w:spacing w:line="240" w:lineRule="auto" w:before="4"/>
              <w:ind w:left="0"/>
              <w:rPr>
                <w:b/>
                <w:sz w:val="35"/>
              </w:rPr>
            </w:pPr>
          </w:p>
          <w:p>
            <w:pPr>
              <w:pStyle w:val="TableParagraph"/>
              <w:spacing w:line="240" w:lineRule="auto"/>
              <w:ind w:left="68"/>
              <w:rPr>
                <w:sz w:val="24"/>
              </w:rPr>
            </w:pPr>
            <w:r>
              <w:rPr>
                <w:sz w:val="24"/>
              </w:rPr>
              <w:t>937,4</w:t>
            </w:r>
          </w:p>
        </w:tc>
        <w:tc>
          <w:tcPr>
            <w:tcW w:w="898" w:type="dxa"/>
          </w:tcPr>
          <w:p>
            <w:pPr>
              <w:pStyle w:val="TableParagraph"/>
              <w:spacing w:line="240" w:lineRule="auto" w:before="4"/>
              <w:ind w:left="0"/>
              <w:rPr>
                <w:b/>
                <w:sz w:val="35"/>
              </w:rPr>
            </w:pPr>
          </w:p>
          <w:p>
            <w:pPr>
              <w:pStyle w:val="TableParagraph"/>
              <w:spacing w:line="240" w:lineRule="auto"/>
              <w:ind w:left="68"/>
              <w:rPr>
                <w:sz w:val="24"/>
              </w:rPr>
            </w:pPr>
            <w:r>
              <w:rPr>
                <w:sz w:val="24"/>
              </w:rPr>
              <w:t>423,0</w:t>
            </w:r>
          </w:p>
        </w:tc>
        <w:tc>
          <w:tcPr>
            <w:tcW w:w="896" w:type="dxa"/>
          </w:tcPr>
          <w:p>
            <w:pPr>
              <w:pStyle w:val="TableParagraph"/>
              <w:spacing w:line="240" w:lineRule="auto" w:before="4"/>
              <w:ind w:left="0"/>
              <w:rPr>
                <w:b/>
                <w:sz w:val="35"/>
              </w:rPr>
            </w:pPr>
          </w:p>
          <w:p>
            <w:pPr>
              <w:pStyle w:val="TableParagraph"/>
              <w:spacing w:line="240" w:lineRule="auto"/>
              <w:ind w:left="67"/>
              <w:rPr>
                <w:sz w:val="24"/>
              </w:rPr>
            </w:pPr>
            <w:r>
              <w:rPr>
                <w:sz w:val="24"/>
              </w:rPr>
              <w:t>666,3</w:t>
            </w:r>
          </w:p>
        </w:tc>
        <w:tc>
          <w:tcPr>
            <w:tcW w:w="898" w:type="dxa"/>
          </w:tcPr>
          <w:p>
            <w:pPr>
              <w:pStyle w:val="TableParagraph"/>
              <w:spacing w:line="240" w:lineRule="auto" w:before="4"/>
              <w:ind w:left="0"/>
              <w:rPr>
                <w:b/>
                <w:sz w:val="35"/>
              </w:rPr>
            </w:pPr>
          </w:p>
          <w:p>
            <w:pPr>
              <w:pStyle w:val="TableParagraph"/>
              <w:spacing w:line="240" w:lineRule="auto"/>
              <w:rPr>
                <w:sz w:val="24"/>
              </w:rPr>
            </w:pPr>
            <w:r>
              <w:rPr>
                <w:sz w:val="24"/>
              </w:rPr>
              <w:t>325,9</w:t>
            </w:r>
          </w:p>
        </w:tc>
        <w:tc>
          <w:tcPr>
            <w:tcW w:w="898" w:type="dxa"/>
          </w:tcPr>
          <w:p>
            <w:pPr>
              <w:pStyle w:val="TableParagraph"/>
              <w:spacing w:line="240" w:lineRule="auto" w:before="4"/>
              <w:ind w:left="0"/>
              <w:rPr>
                <w:b/>
                <w:sz w:val="35"/>
              </w:rPr>
            </w:pPr>
          </w:p>
          <w:p>
            <w:pPr>
              <w:pStyle w:val="TableParagraph"/>
              <w:spacing w:line="240" w:lineRule="auto"/>
              <w:ind w:left="66"/>
              <w:rPr>
                <w:sz w:val="24"/>
              </w:rPr>
            </w:pPr>
            <w:r>
              <w:rPr>
                <w:sz w:val="24"/>
              </w:rPr>
              <w:t>469,1</w:t>
            </w:r>
          </w:p>
        </w:tc>
        <w:tc>
          <w:tcPr>
            <w:tcW w:w="898" w:type="dxa"/>
          </w:tcPr>
          <w:p>
            <w:pPr>
              <w:pStyle w:val="TableParagraph"/>
              <w:spacing w:line="240" w:lineRule="auto" w:before="4"/>
              <w:ind w:left="0"/>
              <w:rPr>
                <w:b/>
                <w:sz w:val="35"/>
              </w:rPr>
            </w:pPr>
          </w:p>
          <w:p>
            <w:pPr>
              <w:pStyle w:val="TableParagraph"/>
              <w:spacing w:line="240" w:lineRule="auto"/>
              <w:ind w:left="66"/>
              <w:rPr>
                <w:sz w:val="24"/>
              </w:rPr>
            </w:pPr>
            <w:r>
              <w:rPr>
                <w:sz w:val="24"/>
              </w:rPr>
              <w:t>249,5</w:t>
            </w:r>
          </w:p>
        </w:tc>
        <w:tc>
          <w:tcPr>
            <w:tcW w:w="896" w:type="dxa"/>
          </w:tcPr>
          <w:p>
            <w:pPr>
              <w:pStyle w:val="TableParagraph"/>
              <w:spacing w:line="240" w:lineRule="auto" w:before="4"/>
              <w:ind w:left="0"/>
              <w:rPr>
                <w:b/>
                <w:sz w:val="35"/>
              </w:rPr>
            </w:pPr>
          </w:p>
          <w:p>
            <w:pPr>
              <w:pStyle w:val="TableParagraph"/>
              <w:spacing w:line="240" w:lineRule="auto"/>
              <w:ind w:left="65"/>
              <w:rPr>
                <w:sz w:val="24"/>
              </w:rPr>
            </w:pPr>
            <w:r>
              <w:rPr>
                <w:sz w:val="24"/>
              </w:rPr>
              <w:t>362,8</w:t>
            </w:r>
          </w:p>
        </w:tc>
      </w:tr>
    </w:tbl>
    <w:p>
      <w:pPr>
        <w:spacing w:before="0"/>
        <w:ind w:left="301" w:right="0" w:firstLine="0"/>
        <w:jc w:val="left"/>
        <w:rPr>
          <w:sz w:val="20"/>
        </w:rPr>
      </w:pPr>
      <w:r>
        <w:rPr>
          <w:sz w:val="20"/>
        </w:rPr>
        <w:t>Fonte: IBGE/PNAD Microdados</w:t>
      </w:r>
    </w:p>
    <w:p>
      <w:pPr>
        <w:pStyle w:val="BodyText"/>
        <w:spacing w:line="360" w:lineRule="auto" w:before="116"/>
        <w:ind w:left="301" w:right="583"/>
      </w:pPr>
      <w:r>
        <w:rPr/>
        <w:t>Notas: Exclusive a população rural dos Estados de Rondônia, Acre, Amazonas, Roraima, Pará e Amapá. Na região norte pode ocorrer problemas amostrais, devido a população reduzida.</w:t>
      </w:r>
    </w:p>
    <w:p>
      <w:pPr>
        <w:pStyle w:val="BodyText"/>
        <w:rPr>
          <w:sz w:val="26"/>
        </w:rPr>
      </w:pPr>
    </w:p>
    <w:p>
      <w:pPr>
        <w:pStyle w:val="BodyText"/>
        <w:rPr>
          <w:sz w:val="26"/>
        </w:rPr>
      </w:pPr>
    </w:p>
    <w:p>
      <w:pPr>
        <w:pStyle w:val="Heading1"/>
        <w:numPr>
          <w:ilvl w:val="2"/>
          <w:numId w:val="1"/>
        </w:numPr>
        <w:tabs>
          <w:tab w:pos="842" w:val="left" w:leader="none"/>
        </w:tabs>
        <w:spacing w:line="240" w:lineRule="auto" w:before="233" w:after="0"/>
        <w:ind w:left="841" w:right="0" w:hanging="541"/>
        <w:jc w:val="left"/>
      </w:pPr>
      <w:r>
        <w:rPr/>
        <w:t>Outras formas de discriminação</w:t>
      </w:r>
    </w:p>
    <w:p>
      <w:pPr>
        <w:pStyle w:val="BodyText"/>
        <w:rPr>
          <w:b/>
          <w:sz w:val="26"/>
        </w:rPr>
      </w:pPr>
    </w:p>
    <w:p>
      <w:pPr>
        <w:pStyle w:val="BodyText"/>
        <w:spacing w:before="6"/>
        <w:rPr>
          <w:b/>
          <w:sz w:val="21"/>
        </w:rPr>
      </w:pPr>
    </w:p>
    <w:p>
      <w:pPr>
        <w:pStyle w:val="BodyText"/>
        <w:spacing w:line="360" w:lineRule="auto" w:before="1"/>
        <w:ind w:left="301" w:right="582" w:firstLine="708"/>
        <w:jc w:val="both"/>
      </w:pPr>
      <w:r>
        <w:rPr/>
        <w:t>Como dito acima, a discriminação ao se apresentar sob várias formas nos fornece dados comprovadores das diferenças raciais. Poderíamos rechear nosso trabalho de exemplos que comprovem esses fatos, mas para que não fique enfadonho não usaremos todos os dados que temos à disposição, porém, é importante demonstrar como os números nos indicam que a discriminação racial existe, e que a “democracia racial’ é um mito, para então percebermos a necessidade das ações</w:t>
      </w:r>
      <w:r>
        <w:rPr>
          <w:spacing w:val="-2"/>
        </w:rPr>
        <w:t> </w:t>
      </w:r>
      <w:r>
        <w:rPr/>
        <w:t>afirmativas.</w:t>
      </w:r>
    </w:p>
    <w:p>
      <w:pPr>
        <w:pStyle w:val="BodyText"/>
        <w:spacing w:line="274" w:lineRule="exact"/>
        <w:ind w:left="1009"/>
        <w:jc w:val="both"/>
      </w:pPr>
      <w:r>
        <w:rPr/>
        <w:t>A tabela abaixo nos mostra que:</w:t>
      </w:r>
    </w:p>
    <w:p>
      <w:pPr>
        <w:spacing w:before="135"/>
        <w:ind w:left="2569" w:right="582" w:firstLine="0"/>
        <w:jc w:val="both"/>
        <w:rPr>
          <w:sz w:val="20"/>
        </w:rPr>
      </w:pPr>
      <w:r>
        <w:rPr>
          <w:i/>
          <w:sz w:val="20"/>
        </w:rPr>
        <w:t>“(...) a racialização tem sido um dado constituivo das relações sociais no Brasil, </w:t>
      </w:r>
      <w:r>
        <w:rPr>
          <w:i/>
          <w:sz w:val="20"/>
        </w:rPr>
        <w:t>isto é, ela não uma invenção de nenhum movimento social ou de intelectuais. Sua aparição no espaço público deve ser medida não apenas pelas manifestações pacíficas e construtivas de grupos negros, mas sim pela branquitude perene da elite dominante”.</w:t>
      </w:r>
      <w:r>
        <w:rPr>
          <w:sz w:val="20"/>
        </w:rPr>
        <w:t>(SILVA, 2003,</w:t>
      </w:r>
      <w:r>
        <w:rPr>
          <w:spacing w:val="1"/>
          <w:sz w:val="20"/>
        </w:rPr>
        <w:t> </w:t>
      </w:r>
      <w:r>
        <w:rPr>
          <w:sz w:val="20"/>
        </w:rPr>
        <w:t>p.51)</w:t>
      </w:r>
    </w:p>
    <w:p>
      <w:pPr>
        <w:spacing w:after="0"/>
        <w:jc w:val="both"/>
        <w:rPr>
          <w:sz w:val="20"/>
        </w:rPr>
        <w:sectPr>
          <w:pgSz w:w="11900" w:h="16840"/>
          <w:pgMar w:top="1600" w:bottom="280" w:left="1400" w:right="540"/>
        </w:sectPr>
      </w:pPr>
    </w:p>
    <w:p>
      <w:pPr>
        <w:pStyle w:val="BodyText"/>
        <w:rPr>
          <w:sz w:val="20"/>
        </w:rPr>
      </w:pPr>
    </w:p>
    <w:p>
      <w:pPr>
        <w:pStyle w:val="BodyText"/>
        <w:spacing w:before="3"/>
        <w:rPr>
          <w:sz w:val="16"/>
        </w:rPr>
      </w:pPr>
    </w:p>
    <w:p>
      <w:pPr>
        <w:spacing w:before="95"/>
        <w:ind w:left="301" w:right="0" w:firstLine="0"/>
        <w:jc w:val="both"/>
        <w:rPr>
          <w:b/>
          <w:sz w:val="20"/>
        </w:rPr>
      </w:pPr>
      <w:r>
        <w:rPr>
          <w:b/>
          <w:sz w:val="20"/>
        </w:rPr>
        <w:t>Tabela 7-Evolução da proporção de pobres por cor ou raça – Brasil –1992-2001</w:t>
      </w:r>
    </w:p>
    <w:p>
      <w:pPr>
        <w:pStyle w:val="BodyText"/>
        <w:spacing w:before="3"/>
        <w:rPr>
          <w:b/>
          <w:sz w:val="10"/>
        </w:rPr>
      </w:pPr>
    </w:p>
    <w:tbl>
      <w:tblPr>
        <w:tblW w:w="0" w:type="auto"/>
        <w:jc w:val="left"/>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44"/>
        <w:gridCol w:w="1121"/>
        <w:gridCol w:w="1123"/>
        <w:gridCol w:w="1121"/>
        <w:gridCol w:w="1123"/>
        <w:gridCol w:w="1121"/>
        <w:gridCol w:w="1123"/>
      </w:tblGrid>
      <w:tr>
        <w:trPr>
          <w:trHeight w:val="827" w:hRule="atLeast"/>
        </w:trPr>
        <w:tc>
          <w:tcPr>
            <w:tcW w:w="2244" w:type="dxa"/>
            <w:vMerge w:val="restart"/>
          </w:tcPr>
          <w:p>
            <w:pPr>
              <w:pStyle w:val="TableParagraph"/>
              <w:tabs>
                <w:tab w:pos="935" w:val="left" w:leader="none"/>
                <w:tab w:pos="1293" w:val="left" w:leader="none"/>
              </w:tabs>
              <w:spacing w:line="360" w:lineRule="auto"/>
              <w:ind w:right="60"/>
              <w:rPr>
                <w:b/>
                <w:sz w:val="24"/>
              </w:rPr>
            </w:pPr>
            <w:r>
              <w:rPr>
                <w:b/>
                <w:sz w:val="24"/>
              </w:rPr>
              <w:t>Brasil</w:t>
              <w:tab/>
              <w:t>e</w:t>
              <w:tab/>
            </w:r>
            <w:r>
              <w:rPr>
                <w:b/>
                <w:spacing w:val="-4"/>
                <w:sz w:val="24"/>
              </w:rPr>
              <w:t>Grandes </w:t>
            </w:r>
            <w:r>
              <w:rPr>
                <w:b/>
                <w:sz w:val="24"/>
              </w:rPr>
              <w:t>Regiões</w:t>
            </w:r>
          </w:p>
        </w:tc>
        <w:tc>
          <w:tcPr>
            <w:tcW w:w="2244" w:type="dxa"/>
            <w:gridSpan w:val="2"/>
          </w:tcPr>
          <w:p>
            <w:pPr>
              <w:pStyle w:val="TableParagraph"/>
              <w:spacing w:line="275" w:lineRule="exact"/>
              <w:rPr>
                <w:b/>
                <w:sz w:val="24"/>
              </w:rPr>
            </w:pPr>
            <w:r>
              <w:rPr>
                <w:b/>
                <w:sz w:val="24"/>
              </w:rPr>
              <w:t>População Total</w:t>
            </w:r>
          </w:p>
        </w:tc>
        <w:tc>
          <w:tcPr>
            <w:tcW w:w="2244" w:type="dxa"/>
            <w:gridSpan w:val="2"/>
          </w:tcPr>
          <w:p>
            <w:pPr>
              <w:pStyle w:val="TableParagraph"/>
              <w:spacing w:line="275" w:lineRule="exact"/>
              <w:rPr>
                <w:b/>
                <w:sz w:val="24"/>
              </w:rPr>
            </w:pPr>
            <w:r>
              <w:rPr>
                <w:b/>
                <w:sz w:val="24"/>
              </w:rPr>
              <w:t>População Branca</w:t>
            </w:r>
          </w:p>
        </w:tc>
        <w:tc>
          <w:tcPr>
            <w:tcW w:w="2244" w:type="dxa"/>
            <w:gridSpan w:val="2"/>
          </w:tcPr>
          <w:p>
            <w:pPr>
              <w:pStyle w:val="TableParagraph"/>
              <w:tabs>
                <w:tab w:pos="1612" w:val="left" w:leader="none"/>
              </w:tabs>
              <w:spacing w:line="275" w:lineRule="exact"/>
              <w:rPr>
                <w:b/>
                <w:sz w:val="24"/>
              </w:rPr>
            </w:pPr>
            <w:r>
              <w:rPr>
                <w:b/>
                <w:sz w:val="24"/>
              </w:rPr>
              <w:t>População</w:t>
              <w:tab/>
              <w:t>Afro-</w:t>
            </w:r>
          </w:p>
          <w:p>
            <w:pPr>
              <w:pStyle w:val="TableParagraph"/>
              <w:spacing w:line="240" w:lineRule="auto" w:before="137"/>
              <w:rPr>
                <w:b/>
                <w:sz w:val="24"/>
              </w:rPr>
            </w:pPr>
            <w:r>
              <w:rPr>
                <w:b/>
                <w:sz w:val="24"/>
              </w:rPr>
              <w:t>descendente</w:t>
            </w:r>
          </w:p>
        </w:tc>
      </w:tr>
      <w:tr>
        <w:trPr>
          <w:trHeight w:val="412" w:hRule="atLeast"/>
        </w:trPr>
        <w:tc>
          <w:tcPr>
            <w:tcW w:w="2244" w:type="dxa"/>
            <w:vMerge/>
            <w:tcBorders>
              <w:top w:val="nil"/>
            </w:tcBorders>
          </w:tcPr>
          <w:p>
            <w:pPr>
              <w:rPr>
                <w:sz w:val="2"/>
                <w:szCs w:val="2"/>
              </w:rPr>
            </w:pPr>
          </w:p>
        </w:tc>
        <w:tc>
          <w:tcPr>
            <w:tcW w:w="1121" w:type="dxa"/>
          </w:tcPr>
          <w:p>
            <w:pPr>
              <w:pStyle w:val="TableParagraph"/>
              <w:spacing w:line="275" w:lineRule="exact"/>
              <w:rPr>
                <w:b/>
                <w:sz w:val="24"/>
              </w:rPr>
            </w:pPr>
            <w:r>
              <w:rPr>
                <w:b/>
                <w:sz w:val="24"/>
              </w:rPr>
              <w:t>1992</w:t>
            </w:r>
          </w:p>
        </w:tc>
        <w:tc>
          <w:tcPr>
            <w:tcW w:w="1123" w:type="dxa"/>
          </w:tcPr>
          <w:p>
            <w:pPr>
              <w:pStyle w:val="TableParagraph"/>
              <w:spacing w:line="275" w:lineRule="exact"/>
              <w:ind w:left="71"/>
              <w:rPr>
                <w:b/>
                <w:sz w:val="24"/>
              </w:rPr>
            </w:pPr>
            <w:r>
              <w:rPr>
                <w:b/>
                <w:sz w:val="24"/>
              </w:rPr>
              <w:t>2001</w:t>
            </w:r>
          </w:p>
        </w:tc>
        <w:tc>
          <w:tcPr>
            <w:tcW w:w="1121" w:type="dxa"/>
          </w:tcPr>
          <w:p>
            <w:pPr>
              <w:pStyle w:val="TableParagraph"/>
              <w:spacing w:line="275" w:lineRule="exact"/>
              <w:rPr>
                <w:b/>
                <w:sz w:val="24"/>
              </w:rPr>
            </w:pPr>
            <w:r>
              <w:rPr>
                <w:b/>
                <w:sz w:val="24"/>
              </w:rPr>
              <w:t>1992</w:t>
            </w:r>
          </w:p>
        </w:tc>
        <w:tc>
          <w:tcPr>
            <w:tcW w:w="1123" w:type="dxa"/>
          </w:tcPr>
          <w:p>
            <w:pPr>
              <w:pStyle w:val="TableParagraph"/>
              <w:spacing w:line="275" w:lineRule="exact"/>
              <w:ind w:left="71"/>
              <w:rPr>
                <w:b/>
                <w:sz w:val="24"/>
              </w:rPr>
            </w:pPr>
            <w:r>
              <w:rPr>
                <w:b/>
                <w:sz w:val="24"/>
              </w:rPr>
              <w:t>2001</w:t>
            </w:r>
          </w:p>
        </w:tc>
        <w:tc>
          <w:tcPr>
            <w:tcW w:w="1121" w:type="dxa"/>
          </w:tcPr>
          <w:p>
            <w:pPr>
              <w:pStyle w:val="TableParagraph"/>
              <w:spacing w:line="275" w:lineRule="exact"/>
              <w:rPr>
                <w:b/>
                <w:sz w:val="24"/>
              </w:rPr>
            </w:pPr>
            <w:r>
              <w:rPr>
                <w:b/>
                <w:sz w:val="24"/>
              </w:rPr>
              <w:t>1992</w:t>
            </w:r>
          </w:p>
        </w:tc>
        <w:tc>
          <w:tcPr>
            <w:tcW w:w="1123" w:type="dxa"/>
          </w:tcPr>
          <w:p>
            <w:pPr>
              <w:pStyle w:val="TableParagraph"/>
              <w:spacing w:line="275" w:lineRule="exact"/>
              <w:ind w:left="71"/>
              <w:rPr>
                <w:b/>
                <w:sz w:val="24"/>
              </w:rPr>
            </w:pPr>
            <w:r>
              <w:rPr>
                <w:b/>
                <w:sz w:val="24"/>
              </w:rPr>
              <w:t>2001</w:t>
            </w:r>
          </w:p>
        </w:tc>
      </w:tr>
      <w:tr>
        <w:trPr>
          <w:trHeight w:val="414" w:hRule="atLeast"/>
        </w:trPr>
        <w:tc>
          <w:tcPr>
            <w:tcW w:w="2244" w:type="dxa"/>
          </w:tcPr>
          <w:p>
            <w:pPr>
              <w:pStyle w:val="TableParagraph"/>
              <w:spacing w:line="275" w:lineRule="exact"/>
              <w:rPr>
                <w:b/>
                <w:sz w:val="24"/>
              </w:rPr>
            </w:pPr>
            <w:r>
              <w:rPr>
                <w:b/>
                <w:sz w:val="24"/>
              </w:rPr>
              <w:t>Brasil</w:t>
            </w:r>
          </w:p>
        </w:tc>
        <w:tc>
          <w:tcPr>
            <w:tcW w:w="1121" w:type="dxa"/>
          </w:tcPr>
          <w:p>
            <w:pPr>
              <w:pStyle w:val="TableParagraph"/>
              <w:spacing w:line="275" w:lineRule="exact"/>
              <w:rPr>
                <w:b/>
                <w:sz w:val="24"/>
              </w:rPr>
            </w:pPr>
            <w:r>
              <w:rPr>
                <w:b/>
                <w:sz w:val="24"/>
              </w:rPr>
              <w:t>40,7</w:t>
            </w:r>
          </w:p>
        </w:tc>
        <w:tc>
          <w:tcPr>
            <w:tcW w:w="1123" w:type="dxa"/>
          </w:tcPr>
          <w:p>
            <w:pPr>
              <w:pStyle w:val="TableParagraph"/>
              <w:spacing w:line="275" w:lineRule="exact"/>
              <w:ind w:left="71"/>
              <w:rPr>
                <w:b/>
                <w:sz w:val="24"/>
              </w:rPr>
            </w:pPr>
            <w:r>
              <w:rPr>
                <w:b/>
                <w:sz w:val="24"/>
              </w:rPr>
              <w:t>33,6</w:t>
            </w:r>
          </w:p>
        </w:tc>
        <w:tc>
          <w:tcPr>
            <w:tcW w:w="1121" w:type="dxa"/>
          </w:tcPr>
          <w:p>
            <w:pPr>
              <w:pStyle w:val="TableParagraph"/>
              <w:spacing w:line="275" w:lineRule="exact"/>
              <w:rPr>
                <w:b/>
                <w:sz w:val="24"/>
              </w:rPr>
            </w:pPr>
            <w:r>
              <w:rPr>
                <w:b/>
                <w:sz w:val="24"/>
              </w:rPr>
              <w:t>28,9</w:t>
            </w:r>
          </w:p>
        </w:tc>
        <w:tc>
          <w:tcPr>
            <w:tcW w:w="1123" w:type="dxa"/>
          </w:tcPr>
          <w:p>
            <w:pPr>
              <w:pStyle w:val="TableParagraph"/>
              <w:spacing w:line="275" w:lineRule="exact"/>
              <w:ind w:left="71"/>
              <w:rPr>
                <w:b/>
                <w:sz w:val="24"/>
              </w:rPr>
            </w:pPr>
            <w:r>
              <w:rPr>
                <w:b/>
                <w:sz w:val="24"/>
              </w:rPr>
              <w:t>22,4</w:t>
            </w:r>
          </w:p>
        </w:tc>
        <w:tc>
          <w:tcPr>
            <w:tcW w:w="1121" w:type="dxa"/>
          </w:tcPr>
          <w:p>
            <w:pPr>
              <w:pStyle w:val="TableParagraph"/>
              <w:spacing w:line="275" w:lineRule="exact"/>
              <w:rPr>
                <w:b/>
                <w:sz w:val="24"/>
              </w:rPr>
            </w:pPr>
            <w:r>
              <w:rPr>
                <w:b/>
                <w:sz w:val="24"/>
              </w:rPr>
              <w:t>55,3</w:t>
            </w:r>
          </w:p>
        </w:tc>
        <w:tc>
          <w:tcPr>
            <w:tcW w:w="1123" w:type="dxa"/>
          </w:tcPr>
          <w:p>
            <w:pPr>
              <w:pStyle w:val="TableParagraph"/>
              <w:spacing w:line="275" w:lineRule="exact"/>
              <w:ind w:left="71"/>
              <w:rPr>
                <w:b/>
                <w:sz w:val="24"/>
              </w:rPr>
            </w:pPr>
            <w:r>
              <w:rPr>
                <w:b/>
                <w:sz w:val="24"/>
              </w:rPr>
              <w:t>46,8</w:t>
            </w:r>
          </w:p>
        </w:tc>
      </w:tr>
      <w:tr>
        <w:trPr>
          <w:trHeight w:val="412" w:hRule="atLeast"/>
        </w:trPr>
        <w:tc>
          <w:tcPr>
            <w:tcW w:w="2244" w:type="dxa"/>
          </w:tcPr>
          <w:p>
            <w:pPr>
              <w:pStyle w:val="TableParagraph"/>
              <w:rPr>
                <w:sz w:val="24"/>
              </w:rPr>
            </w:pPr>
            <w:r>
              <w:rPr>
                <w:sz w:val="24"/>
              </w:rPr>
              <w:t>Norte</w:t>
            </w:r>
          </w:p>
        </w:tc>
        <w:tc>
          <w:tcPr>
            <w:tcW w:w="1121" w:type="dxa"/>
          </w:tcPr>
          <w:p>
            <w:pPr>
              <w:pStyle w:val="TableParagraph"/>
              <w:rPr>
                <w:sz w:val="24"/>
              </w:rPr>
            </w:pPr>
            <w:r>
              <w:rPr>
                <w:sz w:val="24"/>
              </w:rPr>
              <w:t>52,8</w:t>
            </w:r>
          </w:p>
        </w:tc>
        <w:tc>
          <w:tcPr>
            <w:tcW w:w="1123" w:type="dxa"/>
          </w:tcPr>
          <w:p>
            <w:pPr>
              <w:pStyle w:val="TableParagraph"/>
              <w:ind w:left="71"/>
              <w:rPr>
                <w:sz w:val="24"/>
              </w:rPr>
            </w:pPr>
            <w:r>
              <w:rPr>
                <w:sz w:val="24"/>
              </w:rPr>
              <w:t>44,3</w:t>
            </w:r>
          </w:p>
        </w:tc>
        <w:tc>
          <w:tcPr>
            <w:tcW w:w="1121" w:type="dxa"/>
          </w:tcPr>
          <w:p>
            <w:pPr>
              <w:pStyle w:val="TableParagraph"/>
              <w:rPr>
                <w:sz w:val="24"/>
              </w:rPr>
            </w:pPr>
            <w:r>
              <w:rPr>
                <w:sz w:val="24"/>
              </w:rPr>
              <w:t>39,7</w:t>
            </w:r>
          </w:p>
        </w:tc>
        <w:tc>
          <w:tcPr>
            <w:tcW w:w="1123" w:type="dxa"/>
          </w:tcPr>
          <w:p>
            <w:pPr>
              <w:pStyle w:val="TableParagraph"/>
              <w:ind w:left="71"/>
              <w:rPr>
                <w:sz w:val="24"/>
              </w:rPr>
            </w:pPr>
            <w:r>
              <w:rPr>
                <w:sz w:val="24"/>
              </w:rPr>
              <w:t>33,6</w:t>
            </w:r>
          </w:p>
        </w:tc>
        <w:tc>
          <w:tcPr>
            <w:tcW w:w="1121" w:type="dxa"/>
          </w:tcPr>
          <w:p>
            <w:pPr>
              <w:pStyle w:val="TableParagraph"/>
              <w:rPr>
                <w:sz w:val="24"/>
              </w:rPr>
            </w:pPr>
            <w:r>
              <w:rPr>
                <w:sz w:val="24"/>
              </w:rPr>
              <w:t>58,3</w:t>
            </w:r>
          </w:p>
        </w:tc>
        <w:tc>
          <w:tcPr>
            <w:tcW w:w="1123" w:type="dxa"/>
          </w:tcPr>
          <w:p>
            <w:pPr>
              <w:pStyle w:val="TableParagraph"/>
              <w:ind w:left="71"/>
              <w:rPr>
                <w:sz w:val="24"/>
              </w:rPr>
            </w:pPr>
            <w:r>
              <w:rPr>
                <w:sz w:val="24"/>
              </w:rPr>
              <w:t>48,4</w:t>
            </w:r>
          </w:p>
        </w:tc>
      </w:tr>
      <w:tr>
        <w:trPr>
          <w:trHeight w:val="414" w:hRule="atLeast"/>
        </w:trPr>
        <w:tc>
          <w:tcPr>
            <w:tcW w:w="2244" w:type="dxa"/>
          </w:tcPr>
          <w:p>
            <w:pPr>
              <w:pStyle w:val="TableParagraph"/>
              <w:rPr>
                <w:sz w:val="24"/>
              </w:rPr>
            </w:pPr>
            <w:r>
              <w:rPr>
                <w:sz w:val="24"/>
              </w:rPr>
              <w:t>Nordeste</w:t>
            </w:r>
          </w:p>
        </w:tc>
        <w:tc>
          <w:tcPr>
            <w:tcW w:w="1121" w:type="dxa"/>
          </w:tcPr>
          <w:p>
            <w:pPr>
              <w:pStyle w:val="TableParagraph"/>
              <w:rPr>
                <w:sz w:val="24"/>
              </w:rPr>
            </w:pPr>
            <w:r>
              <w:rPr>
                <w:sz w:val="24"/>
              </w:rPr>
              <w:t>65,7</w:t>
            </w:r>
          </w:p>
        </w:tc>
        <w:tc>
          <w:tcPr>
            <w:tcW w:w="1123" w:type="dxa"/>
          </w:tcPr>
          <w:p>
            <w:pPr>
              <w:pStyle w:val="TableParagraph"/>
              <w:ind w:left="71"/>
              <w:rPr>
                <w:sz w:val="24"/>
              </w:rPr>
            </w:pPr>
            <w:r>
              <w:rPr>
                <w:sz w:val="24"/>
              </w:rPr>
              <w:t>57,4</w:t>
            </w:r>
          </w:p>
        </w:tc>
        <w:tc>
          <w:tcPr>
            <w:tcW w:w="1121" w:type="dxa"/>
          </w:tcPr>
          <w:p>
            <w:pPr>
              <w:pStyle w:val="TableParagraph"/>
              <w:rPr>
                <w:sz w:val="24"/>
              </w:rPr>
            </w:pPr>
            <w:r>
              <w:rPr>
                <w:sz w:val="24"/>
              </w:rPr>
              <w:t>54,7</w:t>
            </w:r>
          </w:p>
        </w:tc>
        <w:tc>
          <w:tcPr>
            <w:tcW w:w="1123" w:type="dxa"/>
          </w:tcPr>
          <w:p>
            <w:pPr>
              <w:pStyle w:val="TableParagraph"/>
              <w:ind w:left="71"/>
              <w:rPr>
                <w:sz w:val="24"/>
              </w:rPr>
            </w:pPr>
            <w:r>
              <w:rPr>
                <w:sz w:val="24"/>
              </w:rPr>
              <w:t>46,9</w:t>
            </w:r>
          </w:p>
        </w:tc>
        <w:tc>
          <w:tcPr>
            <w:tcW w:w="1121" w:type="dxa"/>
          </w:tcPr>
          <w:p>
            <w:pPr>
              <w:pStyle w:val="TableParagraph"/>
              <w:rPr>
                <w:sz w:val="24"/>
              </w:rPr>
            </w:pPr>
            <w:r>
              <w:rPr>
                <w:sz w:val="24"/>
              </w:rPr>
              <w:t>70,0</w:t>
            </w:r>
          </w:p>
        </w:tc>
        <w:tc>
          <w:tcPr>
            <w:tcW w:w="1123" w:type="dxa"/>
          </w:tcPr>
          <w:p>
            <w:pPr>
              <w:pStyle w:val="TableParagraph"/>
              <w:ind w:left="71"/>
              <w:rPr>
                <w:sz w:val="24"/>
              </w:rPr>
            </w:pPr>
            <w:r>
              <w:rPr>
                <w:sz w:val="24"/>
              </w:rPr>
              <w:t>61,9</w:t>
            </w:r>
          </w:p>
        </w:tc>
      </w:tr>
      <w:tr>
        <w:trPr>
          <w:trHeight w:val="412" w:hRule="atLeast"/>
        </w:trPr>
        <w:tc>
          <w:tcPr>
            <w:tcW w:w="2244" w:type="dxa"/>
          </w:tcPr>
          <w:p>
            <w:pPr>
              <w:pStyle w:val="TableParagraph"/>
              <w:rPr>
                <w:sz w:val="24"/>
              </w:rPr>
            </w:pPr>
            <w:r>
              <w:rPr>
                <w:sz w:val="24"/>
              </w:rPr>
              <w:t>Sudeste</w:t>
            </w:r>
          </w:p>
        </w:tc>
        <w:tc>
          <w:tcPr>
            <w:tcW w:w="1121" w:type="dxa"/>
          </w:tcPr>
          <w:p>
            <w:pPr>
              <w:pStyle w:val="TableParagraph"/>
              <w:rPr>
                <w:sz w:val="24"/>
              </w:rPr>
            </w:pPr>
            <w:r>
              <w:rPr>
                <w:sz w:val="24"/>
              </w:rPr>
              <w:t>27,4</w:t>
            </w:r>
          </w:p>
        </w:tc>
        <w:tc>
          <w:tcPr>
            <w:tcW w:w="1123" w:type="dxa"/>
          </w:tcPr>
          <w:p>
            <w:pPr>
              <w:pStyle w:val="TableParagraph"/>
              <w:ind w:left="71"/>
              <w:rPr>
                <w:sz w:val="24"/>
              </w:rPr>
            </w:pPr>
            <w:r>
              <w:rPr>
                <w:sz w:val="24"/>
              </w:rPr>
              <w:t>21,5</w:t>
            </w:r>
          </w:p>
        </w:tc>
        <w:tc>
          <w:tcPr>
            <w:tcW w:w="1121" w:type="dxa"/>
          </w:tcPr>
          <w:p>
            <w:pPr>
              <w:pStyle w:val="TableParagraph"/>
              <w:rPr>
                <w:sz w:val="24"/>
              </w:rPr>
            </w:pPr>
            <w:r>
              <w:rPr>
                <w:sz w:val="24"/>
              </w:rPr>
              <w:t>21,3</w:t>
            </w:r>
          </w:p>
        </w:tc>
        <w:tc>
          <w:tcPr>
            <w:tcW w:w="1123" w:type="dxa"/>
          </w:tcPr>
          <w:p>
            <w:pPr>
              <w:pStyle w:val="TableParagraph"/>
              <w:ind w:left="71"/>
              <w:rPr>
                <w:sz w:val="24"/>
              </w:rPr>
            </w:pPr>
            <w:r>
              <w:rPr>
                <w:sz w:val="24"/>
              </w:rPr>
              <w:t>15,6</w:t>
            </w:r>
          </w:p>
        </w:tc>
        <w:tc>
          <w:tcPr>
            <w:tcW w:w="1121" w:type="dxa"/>
          </w:tcPr>
          <w:p>
            <w:pPr>
              <w:pStyle w:val="TableParagraph"/>
              <w:rPr>
                <w:sz w:val="24"/>
              </w:rPr>
            </w:pPr>
            <w:r>
              <w:rPr>
                <w:sz w:val="24"/>
              </w:rPr>
              <w:t>39,1</w:t>
            </w:r>
          </w:p>
        </w:tc>
        <w:tc>
          <w:tcPr>
            <w:tcW w:w="1123" w:type="dxa"/>
          </w:tcPr>
          <w:p>
            <w:pPr>
              <w:pStyle w:val="TableParagraph"/>
              <w:ind w:left="71"/>
              <w:rPr>
                <w:sz w:val="24"/>
              </w:rPr>
            </w:pPr>
            <w:r>
              <w:rPr>
                <w:sz w:val="24"/>
              </w:rPr>
              <w:t>32,1</w:t>
            </w:r>
          </w:p>
        </w:tc>
      </w:tr>
      <w:tr>
        <w:trPr>
          <w:trHeight w:val="414" w:hRule="atLeast"/>
        </w:trPr>
        <w:tc>
          <w:tcPr>
            <w:tcW w:w="2244" w:type="dxa"/>
          </w:tcPr>
          <w:p>
            <w:pPr>
              <w:pStyle w:val="TableParagraph"/>
              <w:rPr>
                <w:sz w:val="24"/>
              </w:rPr>
            </w:pPr>
            <w:r>
              <w:rPr>
                <w:sz w:val="24"/>
              </w:rPr>
              <w:t>Sul</w:t>
            </w:r>
          </w:p>
        </w:tc>
        <w:tc>
          <w:tcPr>
            <w:tcW w:w="1121" w:type="dxa"/>
          </w:tcPr>
          <w:p>
            <w:pPr>
              <w:pStyle w:val="TableParagraph"/>
              <w:rPr>
                <w:sz w:val="24"/>
              </w:rPr>
            </w:pPr>
            <w:r>
              <w:rPr>
                <w:sz w:val="24"/>
              </w:rPr>
              <w:t>32,3</w:t>
            </w:r>
          </w:p>
        </w:tc>
        <w:tc>
          <w:tcPr>
            <w:tcW w:w="1123" w:type="dxa"/>
          </w:tcPr>
          <w:p>
            <w:pPr>
              <w:pStyle w:val="TableParagraph"/>
              <w:ind w:left="71"/>
              <w:rPr>
                <w:sz w:val="24"/>
              </w:rPr>
            </w:pPr>
            <w:r>
              <w:rPr>
                <w:sz w:val="24"/>
              </w:rPr>
              <w:t>23,3</w:t>
            </w:r>
          </w:p>
        </w:tc>
        <w:tc>
          <w:tcPr>
            <w:tcW w:w="1121" w:type="dxa"/>
          </w:tcPr>
          <w:p>
            <w:pPr>
              <w:pStyle w:val="TableParagraph"/>
              <w:rPr>
                <w:sz w:val="24"/>
              </w:rPr>
            </w:pPr>
            <w:r>
              <w:rPr>
                <w:sz w:val="24"/>
              </w:rPr>
              <w:t>28,8</w:t>
            </w:r>
          </w:p>
        </w:tc>
        <w:tc>
          <w:tcPr>
            <w:tcW w:w="1123" w:type="dxa"/>
          </w:tcPr>
          <w:p>
            <w:pPr>
              <w:pStyle w:val="TableParagraph"/>
              <w:ind w:left="71"/>
              <w:rPr>
                <w:sz w:val="24"/>
              </w:rPr>
            </w:pPr>
            <w:r>
              <w:rPr>
                <w:sz w:val="24"/>
              </w:rPr>
              <w:t>20,4</w:t>
            </w:r>
          </w:p>
        </w:tc>
        <w:tc>
          <w:tcPr>
            <w:tcW w:w="1121" w:type="dxa"/>
          </w:tcPr>
          <w:p>
            <w:pPr>
              <w:pStyle w:val="TableParagraph"/>
              <w:rPr>
                <w:sz w:val="24"/>
              </w:rPr>
            </w:pPr>
            <w:r>
              <w:rPr>
                <w:sz w:val="24"/>
              </w:rPr>
              <w:t>51,3</w:t>
            </w:r>
          </w:p>
        </w:tc>
        <w:tc>
          <w:tcPr>
            <w:tcW w:w="1123" w:type="dxa"/>
          </w:tcPr>
          <w:p>
            <w:pPr>
              <w:pStyle w:val="TableParagraph"/>
              <w:ind w:left="71"/>
              <w:rPr>
                <w:sz w:val="24"/>
              </w:rPr>
            </w:pPr>
            <w:r>
              <w:rPr>
                <w:sz w:val="24"/>
              </w:rPr>
              <w:t>38,9</w:t>
            </w:r>
          </w:p>
        </w:tc>
      </w:tr>
      <w:tr>
        <w:trPr>
          <w:trHeight w:val="412" w:hRule="atLeast"/>
        </w:trPr>
        <w:tc>
          <w:tcPr>
            <w:tcW w:w="2244" w:type="dxa"/>
          </w:tcPr>
          <w:p>
            <w:pPr>
              <w:pStyle w:val="TableParagraph"/>
              <w:rPr>
                <w:sz w:val="24"/>
              </w:rPr>
            </w:pPr>
            <w:r>
              <w:rPr>
                <w:sz w:val="24"/>
              </w:rPr>
              <w:t>Centro-Oeste</w:t>
            </w:r>
          </w:p>
        </w:tc>
        <w:tc>
          <w:tcPr>
            <w:tcW w:w="1121" w:type="dxa"/>
          </w:tcPr>
          <w:p>
            <w:pPr>
              <w:pStyle w:val="TableParagraph"/>
              <w:rPr>
                <w:sz w:val="24"/>
              </w:rPr>
            </w:pPr>
            <w:r>
              <w:rPr>
                <w:sz w:val="24"/>
              </w:rPr>
              <w:t>33,7</w:t>
            </w:r>
          </w:p>
        </w:tc>
        <w:tc>
          <w:tcPr>
            <w:tcW w:w="1123" w:type="dxa"/>
          </w:tcPr>
          <w:p>
            <w:pPr>
              <w:pStyle w:val="TableParagraph"/>
              <w:ind w:left="71"/>
              <w:rPr>
                <w:sz w:val="24"/>
              </w:rPr>
            </w:pPr>
            <w:r>
              <w:rPr>
                <w:sz w:val="24"/>
              </w:rPr>
              <w:t>24,7</w:t>
            </w:r>
          </w:p>
        </w:tc>
        <w:tc>
          <w:tcPr>
            <w:tcW w:w="1121" w:type="dxa"/>
          </w:tcPr>
          <w:p>
            <w:pPr>
              <w:pStyle w:val="TableParagraph"/>
              <w:rPr>
                <w:sz w:val="24"/>
              </w:rPr>
            </w:pPr>
            <w:r>
              <w:rPr>
                <w:sz w:val="24"/>
              </w:rPr>
              <w:t>26,8</w:t>
            </w:r>
          </w:p>
        </w:tc>
        <w:tc>
          <w:tcPr>
            <w:tcW w:w="1123" w:type="dxa"/>
          </w:tcPr>
          <w:p>
            <w:pPr>
              <w:pStyle w:val="TableParagraph"/>
              <w:ind w:left="71"/>
              <w:rPr>
                <w:sz w:val="24"/>
              </w:rPr>
            </w:pPr>
            <w:r>
              <w:rPr>
                <w:sz w:val="24"/>
              </w:rPr>
              <w:t>17,4</w:t>
            </w:r>
          </w:p>
        </w:tc>
        <w:tc>
          <w:tcPr>
            <w:tcW w:w="1121" w:type="dxa"/>
          </w:tcPr>
          <w:p>
            <w:pPr>
              <w:pStyle w:val="TableParagraph"/>
              <w:rPr>
                <w:sz w:val="24"/>
              </w:rPr>
            </w:pPr>
            <w:r>
              <w:rPr>
                <w:sz w:val="24"/>
              </w:rPr>
              <w:t>39,8</w:t>
            </w:r>
          </w:p>
        </w:tc>
        <w:tc>
          <w:tcPr>
            <w:tcW w:w="1123" w:type="dxa"/>
          </w:tcPr>
          <w:p>
            <w:pPr>
              <w:pStyle w:val="TableParagraph"/>
              <w:ind w:left="71"/>
              <w:rPr>
                <w:sz w:val="24"/>
              </w:rPr>
            </w:pPr>
            <w:r>
              <w:rPr>
                <w:sz w:val="24"/>
              </w:rPr>
              <w:t>30,2</w:t>
            </w:r>
          </w:p>
        </w:tc>
      </w:tr>
    </w:tbl>
    <w:p>
      <w:pPr>
        <w:spacing w:before="0"/>
        <w:ind w:left="301" w:right="0" w:firstLine="0"/>
        <w:jc w:val="both"/>
        <w:rPr>
          <w:sz w:val="20"/>
        </w:rPr>
      </w:pPr>
      <w:r>
        <w:rPr>
          <w:sz w:val="20"/>
        </w:rPr>
        <w:t>Fonte: IBGE/PNAD – Elaboração IPEA/DISOC</w:t>
      </w:r>
    </w:p>
    <w:p>
      <w:pPr>
        <w:pStyle w:val="BodyText"/>
        <w:spacing w:line="360" w:lineRule="auto" w:before="116"/>
        <w:ind w:left="301" w:right="583"/>
        <w:jc w:val="both"/>
      </w:pPr>
      <w:r>
        <w:rPr/>
        <w:t>Nota: População afro-descendente é composta de pretos e pardos. Exclusive a população  rural dos Estados de Rondônia, Acre, Amazonas, Roraima, Pará e Amapá. Em unidades da federação com população reduzida pode haver problemas</w:t>
      </w:r>
      <w:r>
        <w:rPr>
          <w:spacing w:val="-3"/>
        </w:rPr>
        <w:t> </w:t>
      </w:r>
      <w:r>
        <w:rPr/>
        <w:t>amostrais.</w:t>
      </w:r>
    </w:p>
    <w:p>
      <w:pPr>
        <w:pStyle w:val="BodyText"/>
        <w:spacing w:line="275" w:lineRule="exact"/>
        <w:ind w:left="1009"/>
        <w:jc w:val="both"/>
      </w:pPr>
      <w:r>
        <w:rPr/>
        <w:t>Os dados apresentados acima são dignos do comentário do Professor Cruz:</w:t>
      </w:r>
    </w:p>
    <w:p>
      <w:pPr>
        <w:spacing w:before="136"/>
        <w:ind w:left="2569" w:right="581" w:firstLine="0"/>
        <w:jc w:val="both"/>
        <w:rPr>
          <w:sz w:val="20"/>
        </w:rPr>
      </w:pPr>
      <w:r>
        <w:rPr>
          <w:sz w:val="20"/>
        </w:rPr>
        <w:t>“</w:t>
      </w:r>
      <w:r>
        <w:rPr>
          <w:i/>
          <w:sz w:val="20"/>
        </w:rPr>
        <w:t>Se não convivemos com legislações racistas como os EUA e a África do Sul </w:t>
      </w:r>
      <w:r>
        <w:rPr>
          <w:i/>
          <w:sz w:val="20"/>
        </w:rPr>
        <w:t>(apartheid) ou mesmo o horror vivido na Alemanha nazista, está mais do que claro que as oportunidades e o padrão de vida dos negros é muito inferior ao da média da sociedade brasileira.”</w:t>
      </w:r>
      <w:r>
        <w:rPr>
          <w:sz w:val="20"/>
        </w:rPr>
        <w:t>(CRUZ, 2003, p. 141)</w:t>
      </w:r>
    </w:p>
    <w:p>
      <w:pPr>
        <w:pStyle w:val="BodyText"/>
        <w:rPr>
          <w:sz w:val="22"/>
        </w:rPr>
      </w:pPr>
    </w:p>
    <w:p>
      <w:pPr>
        <w:pStyle w:val="BodyText"/>
        <w:rPr>
          <w:sz w:val="22"/>
        </w:rPr>
      </w:pPr>
    </w:p>
    <w:p>
      <w:pPr>
        <w:pStyle w:val="BodyText"/>
        <w:spacing w:before="5"/>
        <w:rPr>
          <w:sz w:val="28"/>
        </w:rPr>
      </w:pPr>
    </w:p>
    <w:p>
      <w:pPr>
        <w:pStyle w:val="Heading1"/>
        <w:numPr>
          <w:ilvl w:val="1"/>
          <w:numId w:val="1"/>
        </w:numPr>
        <w:tabs>
          <w:tab w:pos="662" w:val="left" w:leader="none"/>
        </w:tabs>
        <w:spacing w:line="240" w:lineRule="auto" w:before="0" w:after="0"/>
        <w:ind w:left="661" w:right="0" w:hanging="361"/>
        <w:jc w:val="left"/>
      </w:pPr>
      <w:r>
        <w:rPr/>
        <w:t>O tratamento dado ao racismo pelas legislações</w:t>
      </w:r>
      <w:r>
        <w:rPr>
          <w:spacing w:val="-2"/>
        </w:rPr>
        <w:t> </w:t>
      </w:r>
      <w:r>
        <w:rPr/>
        <w:t>brasileiras</w:t>
      </w:r>
    </w:p>
    <w:p>
      <w:pPr>
        <w:pStyle w:val="BodyText"/>
        <w:rPr>
          <w:b/>
          <w:sz w:val="26"/>
        </w:rPr>
      </w:pPr>
    </w:p>
    <w:p>
      <w:pPr>
        <w:pStyle w:val="BodyText"/>
        <w:spacing w:before="7"/>
        <w:rPr>
          <w:b/>
          <w:sz w:val="21"/>
        </w:rPr>
      </w:pPr>
    </w:p>
    <w:p>
      <w:pPr>
        <w:pStyle w:val="BodyText"/>
        <w:spacing w:line="360" w:lineRule="auto"/>
        <w:ind w:left="301" w:right="584" w:firstLine="708"/>
        <w:jc w:val="both"/>
      </w:pPr>
      <w:r>
        <w:rPr/>
        <w:t>O racismo é tratado na Constituição da República, em leis federais, estaduais e municipais; busca-se nessas legislações a sua punição bem como a prevenção de que tais práticas aconteçam. O que se nota, porém, é a pouca aplicabilidade dessas leis e dos princípios</w:t>
      </w:r>
      <w:r>
        <w:rPr>
          <w:spacing w:val="-1"/>
        </w:rPr>
        <w:t> </w:t>
      </w:r>
      <w:r>
        <w:rPr/>
        <w:t>constitucionais.</w:t>
      </w:r>
    </w:p>
    <w:p>
      <w:pPr>
        <w:pStyle w:val="BodyText"/>
        <w:spacing w:line="360" w:lineRule="auto"/>
        <w:ind w:left="301" w:right="586" w:firstLine="768"/>
        <w:jc w:val="both"/>
      </w:pPr>
      <w:r>
        <w:rPr/>
        <w:t>Na Constituição, há vários dispositivos – alguns já citados - impeditivos da prática do racismo, mas merecem atenção especial os seguintes:</w:t>
      </w:r>
    </w:p>
    <w:p>
      <w:pPr>
        <w:spacing w:before="0"/>
        <w:ind w:left="2569" w:right="582" w:firstLine="0"/>
        <w:jc w:val="both"/>
        <w:rPr>
          <w:i/>
          <w:sz w:val="20"/>
        </w:rPr>
      </w:pPr>
      <w:r>
        <w:rPr>
          <w:i/>
          <w:sz w:val="20"/>
        </w:rPr>
        <w:t>“Art. 5°, XLI – a lei punirá qualquer discriminação atentatória dos direitos e </w:t>
      </w:r>
      <w:r>
        <w:rPr>
          <w:i/>
          <w:sz w:val="20"/>
        </w:rPr>
        <w:t>liberdades fundamentais;</w:t>
      </w:r>
    </w:p>
    <w:p>
      <w:pPr>
        <w:spacing w:before="0"/>
        <w:ind w:left="2569" w:right="585" w:firstLine="0"/>
        <w:jc w:val="both"/>
        <w:rPr>
          <w:i/>
          <w:sz w:val="20"/>
        </w:rPr>
      </w:pPr>
      <w:r>
        <w:rPr>
          <w:i/>
          <w:sz w:val="20"/>
        </w:rPr>
        <w:t>XLII- a prática do racismo constitui crime inafiançável e imprescritível, sujeito à </w:t>
      </w:r>
      <w:r>
        <w:rPr>
          <w:i/>
          <w:sz w:val="20"/>
        </w:rPr>
        <w:t>pena de reclusão, nos termos da lei.</w:t>
      </w:r>
    </w:p>
    <w:p>
      <w:pPr>
        <w:pStyle w:val="BodyText"/>
        <w:spacing w:before="8"/>
        <w:rPr>
          <w:i/>
          <w:sz w:val="19"/>
        </w:rPr>
      </w:pPr>
    </w:p>
    <w:p>
      <w:pPr>
        <w:spacing w:before="0"/>
        <w:ind w:left="2569" w:right="588" w:firstLine="0"/>
        <w:jc w:val="both"/>
        <w:rPr>
          <w:i/>
          <w:sz w:val="20"/>
        </w:rPr>
      </w:pPr>
      <w:r>
        <w:rPr>
          <w:i/>
          <w:sz w:val="20"/>
        </w:rPr>
        <w:t>Art. 7°- São direitos dos trabalhadores urbanos e rurais, além de outros que visem à </w:t>
      </w:r>
      <w:r>
        <w:rPr>
          <w:i/>
          <w:sz w:val="20"/>
        </w:rPr>
        <w:t>melhoria da sua condição social:</w:t>
      </w:r>
    </w:p>
    <w:p>
      <w:pPr>
        <w:spacing w:before="0"/>
        <w:ind w:left="2569" w:right="584" w:firstLine="0"/>
        <w:jc w:val="both"/>
        <w:rPr>
          <w:i/>
          <w:sz w:val="20"/>
        </w:rPr>
      </w:pPr>
      <w:r>
        <w:rPr>
          <w:i/>
          <w:sz w:val="20"/>
        </w:rPr>
        <w:t>XXX- proibição de diferença de salários, de exercício de função e de critérios de </w:t>
      </w:r>
      <w:r>
        <w:rPr>
          <w:i/>
          <w:sz w:val="20"/>
        </w:rPr>
        <w:t>admissão por motivo de sexo, idade, cor ou estado civil.</w:t>
      </w:r>
    </w:p>
    <w:p>
      <w:pPr>
        <w:spacing w:after="0"/>
        <w:jc w:val="both"/>
        <w:rPr>
          <w:sz w:val="20"/>
        </w:rPr>
        <w:sectPr>
          <w:pgSz w:w="11900" w:h="16840"/>
          <w:pgMar w:top="1600" w:bottom="280" w:left="1400" w:right="540"/>
        </w:sectPr>
      </w:pPr>
    </w:p>
    <w:p>
      <w:pPr>
        <w:spacing w:before="95"/>
        <w:ind w:left="2569" w:right="583" w:firstLine="0"/>
        <w:jc w:val="both"/>
        <w:rPr>
          <w:i/>
          <w:sz w:val="20"/>
        </w:rPr>
      </w:pPr>
      <w:r>
        <w:rPr>
          <w:i/>
          <w:sz w:val="20"/>
        </w:rPr>
        <w:t>Art. 227 – É dever da família, da sociedade e do Estado assegurar à criança e ao </w:t>
      </w:r>
      <w:r>
        <w:rPr>
          <w:i/>
          <w:sz w:val="20"/>
        </w:rPr>
        <w:t>adolescente, com absoluta prioridade, o direito à vida, à saúde, à alimentação, à educação, ao lazer, à profissionalização, à cultura, à dignidade, ao respeito, à liberdade e à conivência familiar e comunitária, além de colocá-los a salvo de toda forma de negligência, </w:t>
      </w:r>
      <w:r>
        <w:rPr>
          <w:b/>
          <w:i/>
          <w:sz w:val="20"/>
        </w:rPr>
        <w:t>discriminação, </w:t>
      </w:r>
      <w:r>
        <w:rPr>
          <w:i/>
          <w:sz w:val="20"/>
        </w:rPr>
        <w:t>exploração, violência, crueldade e opressão.”</w:t>
      </w:r>
    </w:p>
    <w:p>
      <w:pPr>
        <w:pStyle w:val="BodyText"/>
        <w:rPr>
          <w:i/>
          <w:sz w:val="22"/>
        </w:rPr>
      </w:pPr>
    </w:p>
    <w:p>
      <w:pPr>
        <w:pStyle w:val="BodyText"/>
        <w:spacing w:line="360" w:lineRule="auto" w:before="160"/>
        <w:ind w:left="301" w:right="584" w:firstLine="708"/>
        <w:jc w:val="both"/>
      </w:pPr>
      <w:r>
        <w:rPr/>
        <w:t>A Constituição se mostra amplamente desrespeitada quando analisamos os dados acima, o que nos permite concluir que sua aplicabilidade está sendo reduzida pelas práticas sociais, o que é inadmissível para a concretização do Estado Democrático de Direito e seu ideal de cidadania. Sobre o que nos fala a professora Carmem Lúcia:</w:t>
      </w:r>
    </w:p>
    <w:p>
      <w:pPr>
        <w:spacing w:line="240" w:lineRule="auto" w:before="0"/>
        <w:ind w:left="2569" w:right="537" w:firstLine="0"/>
        <w:jc w:val="both"/>
        <w:rPr>
          <w:sz w:val="20"/>
        </w:rPr>
      </w:pPr>
      <w:r>
        <w:rPr>
          <w:sz w:val="20"/>
        </w:rPr>
        <w:t>“</w:t>
      </w:r>
      <w:r>
        <w:rPr>
          <w:i/>
          <w:sz w:val="20"/>
        </w:rPr>
        <w:t>A Constituição é lei e Lei é feita para se aplicar, para se respeitar, para se cumprir, </w:t>
      </w:r>
      <w:r>
        <w:rPr>
          <w:i/>
          <w:sz w:val="20"/>
        </w:rPr>
        <w:t>imponha ela uma abstenção ou um comportamento comissivo do Estado ou mesmo de outra pessoa. Constituição não sugere, determina e o que ela ordena é para se cumprir mais ainda no que se refere às condutas das quais dependam a viabilidade do exercício de direitos fundamentais por ela declarados e assegurados.”</w:t>
      </w:r>
      <w:r>
        <w:rPr>
          <w:sz w:val="20"/>
        </w:rPr>
        <w:t>(ROCHA, 1999,</w:t>
      </w:r>
      <w:r>
        <w:rPr>
          <w:spacing w:val="-2"/>
          <w:sz w:val="20"/>
        </w:rPr>
        <w:t> </w:t>
      </w:r>
      <w:r>
        <w:rPr>
          <w:sz w:val="20"/>
        </w:rPr>
        <w:t>p.42)</w:t>
      </w:r>
    </w:p>
    <w:p>
      <w:pPr>
        <w:pStyle w:val="BodyText"/>
        <w:spacing w:before="9"/>
        <w:rPr>
          <w:sz w:val="23"/>
        </w:rPr>
      </w:pPr>
    </w:p>
    <w:p>
      <w:pPr>
        <w:pStyle w:val="BodyText"/>
        <w:spacing w:line="360" w:lineRule="auto" w:before="1"/>
        <w:ind w:left="301" w:right="581" w:firstLine="708"/>
        <w:jc w:val="both"/>
      </w:pPr>
      <w:r>
        <w:rPr/>
        <w:t>Não é permitido ao Estado e à sociedade retirar a eficácia ou reduzir a aplicabilidade dos direitos fundamentais, pois assim estaríamos infringindo ponto basilar do Estado Democrático de Direito, qual seja, a supremacia da Constituição. Entendemos que a Constituição deve ser aplicada na sua totalidade e de forma integral e sistêmica com o ordenamento jurídico.</w:t>
      </w:r>
    </w:p>
    <w:p>
      <w:pPr>
        <w:pStyle w:val="BodyText"/>
        <w:spacing w:line="360" w:lineRule="auto"/>
        <w:ind w:left="301" w:right="583" w:firstLine="708"/>
        <w:jc w:val="both"/>
      </w:pPr>
      <w:r>
        <w:rPr/>
        <w:t>O racismo é repudiado pela República Federativa do Brasil nas suas relações internacionais, conforme o art. 4°, VIII, ou seja, é inadmissível que esta forma de discriminação ainda exista na sociedade brasileira.</w:t>
      </w:r>
    </w:p>
    <w:p>
      <w:pPr>
        <w:pStyle w:val="BodyText"/>
        <w:spacing w:line="275" w:lineRule="exact"/>
        <w:ind w:left="1009"/>
        <w:jc w:val="both"/>
      </w:pPr>
      <w:r>
        <w:rPr/>
        <w:t>Existem algumas leis federais também tratando do tema, aqui enumeradas:</w:t>
      </w:r>
    </w:p>
    <w:p>
      <w:pPr>
        <w:pStyle w:val="ListParagraph"/>
        <w:numPr>
          <w:ilvl w:val="0"/>
          <w:numId w:val="2"/>
        </w:numPr>
        <w:tabs>
          <w:tab w:pos="1091" w:val="left" w:leader="none"/>
          <w:tab w:pos="1092" w:val="left" w:leader="none"/>
        </w:tabs>
        <w:spacing w:line="357" w:lineRule="auto" w:before="135" w:after="0"/>
        <w:ind w:left="301" w:right="583" w:firstLine="0"/>
        <w:jc w:val="both"/>
        <w:rPr>
          <w:sz w:val="24"/>
        </w:rPr>
      </w:pPr>
      <w:r>
        <w:rPr>
          <w:sz w:val="24"/>
        </w:rPr>
        <w:t>a Lei nº 7.716 de 05 de janeiro de 1989, a também conhecida por LEI CAÓ, visa a tutelar a igualdade racial, descrevendo punições para crimes que configurem racismo: “</w:t>
      </w:r>
      <w:r>
        <w:rPr>
          <w:i/>
          <w:sz w:val="24"/>
        </w:rPr>
        <w:t>Art. 1º </w:t>
      </w:r>
      <w:r>
        <w:rPr>
          <w:i/>
          <w:sz w:val="24"/>
        </w:rPr>
        <w:t>Serão punidos, na forma desta Lei, os crimes resultantes de discriminação ou preconceito de raça, cor, etnia, religião ou procedência nacional.” </w:t>
      </w:r>
      <w:r>
        <w:rPr>
          <w:sz w:val="24"/>
        </w:rPr>
        <w:t>Nesta lei estão previstos vários crimes e penas ao</w:t>
      </w:r>
      <w:r>
        <w:rPr>
          <w:spacing w:val="-1"/>
          <w:sz w:val="24"/>
        </w:rPr>
        <w:t> </w:t>
      </w:r>
      <w:r>
        <w:rPr>
          <w:sz w:val="24"/>
        </w:rPr>
        <w:t>racismo.</w:t>
      </w:r>
    </w:p>
    <w:p>
      <w:pPr>
        <w:pStyle w:val="ListParagraph"/>
        <w:numPr>
          <w:ilvl w:val="0"/>
          <w:numId w:val="2"/>
        </w:numPr>
        <w:tabs>
          <w:tab w:pos="1091" w:val="left" w:leader="none"/>
          <w:tab w:pos="1092" w:val="left" w:leader="none"/>
        </w:tabs>
        <w:spacing w:line="350" w:lineRule="auto" w:before="3" w:after="0"/>
        <w:ind w:left="301" w:right="587" w:firstLine="0"/>
        <w:jc w:val="both"/>
        <w:rPr>
          <w:sz w:val="24"/>
        </w:rPr>
      </w:pPr>
      <w:r>
        <w:rPr>
          <w:sz w:val="24"/>
        </w:rPr>
        <w:t>Lei n° 9.459 de 15 de maio de 1997, que corrige e modifica alguns artigos da lei acima</w:t>
      </w:r>
      <w:r>
        <w:rPr>
          <w:spacing w:val="-2"/>
          <w:sz w:val="24"/>
        </w:rPr>
        <w:t> </w:t>
      </w:r>
      <w:r>
        <w:rPr>
          <w:sz w:val="24"/>
        </w:rPr>
        <w:t>citada.</w:t>
      </w:r>
    </w:p>
    <w:p>
      <w:pPr>
        <w:pStyle w:val="ListParagraph"/>
        <w:numPr>
          <w:ilvl w:val="0"/>
          <w:numId w:val="2"/>
        </w:numPr>
        <w:tabs>
          <w:tab w:pos="1091" w:val="left" w:leader="none"/>
          <w:tab w:pos="1092" w:val="left" w:leader="none"/>
        </w:tabs>
        <w:spacing w:line="350" w:lineRule="auto" w:before="12" w:after="0"/>
        <w:ind w:left="301" w:right="584" w:firstLine="0"/>
        <w:jc w:val="both"/>
        <w:rPr>
          <w:sz w:val="24"/>
        </w:rPr>
      </w:pPr>
      <w:r>
        <w:rPr>
          <w:sz w:val="24"/>
        </w:rPr>
        <w:t>Lei 8.081 e a Lei 8.082 de 03 de junho de 1994, que introduziram no Artigo 140 do Código Penal o parágrafo §</w:t>
      </w:r>
      <w:r>
        <w:rPr>
          <w:spacing w:val="-1"/>
          <w:sz w:val="24"/>
        </w:rPr>
        <w:t> </w:t>
      </w:r>
      <w:r>
        <w:rPr>
          <w:sz w:val="24"/>
        </w:rPr>
        <w:t>3°:</w:t>
      </w:r>
    </w:p>
    <w:p>
      <w:pPr>
        <w:spacing w:before="12"/>
        <w:ind w:left="2569" w:right="1860" w:firstLine="0"/>
        <w:jc w:val="left"/>
        <w:rPr>
          <w:i/>
          <w:sz w:val="20"/>
        </w:rPr>
      </w:pPr>
      <w:r>
        <w:rPr>
          <w:i/>
          <w:sz w:val="20"/>
        </w:rPr>
        <w:t>“Artigo 140- Injuriar alguém, ofendendo-lhe a dignidade ou decoro. </w:t>
      </w:r>
      <w:r>
        <w:rPr>
          <w:i/>
          <w:sz w:val="20"/>
        </w:rPr>
        <w:t>Pena: detenção de 1 (um) a 6 (seis) meses, ou multa.</w:t>
      </w:r>
    </w:p>
    <w:p>
      <w:pPr>
        <w:spacing w:before="0"/>
        <w:ind w:left="2569" w:right="615" w:firstLine="0"/>
        <w:jc w:val="left"/>
        <w:rPr>
          <w:i/>
          <w:sz w:val="20"/>
        </w:rPr>
      </w:pPr>
      <w:r>
        <w:rPr>
          <w:i/>
          <w:sz w:val="20"/>
        </w:rPr>
        <w:t>Parágrafo 3º - Se a injúria consiste da utilização de elementos relacionados raça, </w:t>
      </w:r>
      <w:r>
        <w:rPr>
          <w:i/>
          <w:sz w:val="20"/>
        </w:rPr>
        <w:t>cor, etnia, religião ou origem:</w:t>
      </w:r>
    </w:p>
    <w:p>
      <w:pPr>
        <w:spacing w:before="0"/>
        <w:ind w:left="2569" w:right="0" w:firstLine="0"/>
        <w:jc w:val="left"/>
        <w:rPr>
          <w:sz w:val="20"/>
        </w:rPr>
      </w:pPr>
      <w:r>
        <w:rPr>
          <w:i/>
          <w:sz w:val="20"/>
        </w:rPr>
        <w:t>Pena: reclusão de 1 (um) a 3 (três) anos e multa</w:t>
      </w:r>
      <w:r>
        <w:rPr>
          <w:sz w:val="20"/>
        </w:rPr>
        <w:t>.”</w:t>
      </w:r>
    </w:p>
    <w:p>
      <w:pPr>
        <w:spacing w:after="0"/>
        <w:jc w:val="left"/>
        <w:rPr>
          <w:sz w:val="20"/>
        </w:rPr>
        <w:sectPr>
          <w:pgSz w:w="11900" w:h="16840"/>
          <w:pgMar w:top="1600" w:bottom="280" w:left="1400" w:right="540"/>
        </w:sectPr>
      </w:pPr>
    </w:p>
    <w:p>
      <w:pPr>
        <w:pStyle w:val="ListParagraph"/>
        <w:numPr>
          <w:ilvl w:val="0"/>
          <w:numId w:val="2"/>
        </w:numPr>
        <w:tabs>
          <w:tab w:pos="1091" w:val="left" w:leader="none"/>
          <w:tab w:pos="1092" w:val="left" w:leader="none"/>
        </w:tabs>
        <w:spacing w:line="350" w:lineRule="auto" w:before="95" w:after="0"/>
        <w:ind w:left="301" w:right="586" w:firstLine="0"/>
        <w:jc w:val="left"/>
        <w:rPr>
          <w:sz w:val="24"/>
        </w:rPr>
      </w:pPr>
      <w:r>
        <w:rPr>
          <w:sz w:val="24"/>
        </w:rPr>
        <w:t>Lei 9.455 de 07 de abril de 1997, a chamada Lei da Tortura prevê em seu artigo 1º, inciso </w:t>
      </w:r>
      <w:r>
        <w:rPr>
          <w:spacing w:val="-3"/>
          <w:sz w:val="24"/>
        </w:rPr>
        <w:t>I, </w:t>
      </w:r>
      <w:r>
        <w:rPr>
          <w:sz w:val="24"/>
        </w:rPr>
        <w:t>letra</w:t>
      </w:r>
      <w:r>
        <w:rPr>
          <w:spacing w:val="3"/>
          <w:sz w:val="24"/>
        </w:rPr>
        <w:t> </w:t>
      </w:r>
      <w:r>
        <w:rPr>
          <w:i/>
          <w:sz w:val="24"/>
        </w:rPr>
        <w:t>c</w:t>
      </w:r>
      <w:r>
        <w:rPr>
          <w:sz w:val="24"/>
        </w:rPr>
        <w:t>:</w:t>
      </w:r>
    </w:p>
    <w:p>
      <w:pPr>
        <w:spacing w:before="12"/>
        <w:ind w:left="2569" w:right="0" w:firstLine="0"/>
        <w:jc w:val="left"/>
        <w:rPr>
          <w:i/>
          <w:sz w:val="20"/>
        </w:rPr>
      </w:pPr>
      <w:r>
        <w:rPr>
          <w:i/>
          <w:sz w:val="20"/>
        </w:rPr>
        <w:t>“Constitui crime de</w:t>
      </w:r>
      <w:r>
        <w:rPr>
          <w:i/>
          <w:spacing w:val="-12"/>
          <w:sz w:val="20"/>
        </w:rPr>
        <w:t> </w:t>
      </w:r>
      <w:r>
        <w:rPr>
          <w:i/>
          <w:sz w:val="20"/>
        </w:rPr>
        <w:t>tortura:</w:t>
      </w:r>
    </w:p>
    <w:p>
      <w:pPr>
        <w:spacing w:before="1"/>
        <w:ind w:left="2569" w:right="0" w:firstLine="0"/>
        <w:jc w:val="left"/>
        <w:rPr>
          <w:i/>
          <w:sz w:val="20"/>
        </w:rPr>
      </w:pPr>
      <w:r>
        <w:rPr>
          <w:i/>
          <w:sz w:val="20"/>
        </w:rPr>
        <w:t>I –constranger alguém com emprego de violência ou grave ameaça, causando-lhe </w:t>
      </w:r>
      <w:r>
        <w:rPr>
          <w:i/>
          <w:sz w:val="20"/>
        </w:rPr>
        <w:t>sofrimento físico ou</w:t>
      </w:r>
      <w:r>
        <w:rPr>
          <w:i/>
          <w:spacing w:val="2"/>
          <w:sz w:val="20"/>
        </w:rPr>
        <w:t> </w:t>
      </w:r>
      <w:r>
        <w:rPr>
          <w:i/>
          <w:sz w:val="20"/>
        </w:rPr>
        <w:t>mental:</w:t>
      </w:r>
    </w:p>
    <w:p>
      <w:pPr>
        <w:spacing w:line="228" w:lineRule="exact" w:before="0"/>
        <w:ind w:left="2569" w:right="0" w:firstLine="0"/>
        <w:jc w:val="left"/>
        <w:rPr>
          <w:i/>
          <w:sz w:val="20"/>
        </w:rPr>
      </w:pPr>
      <w:r>
        <w:rPr>
          <w:i/>
          <w:sz w:val="20"/>
        </w:rPr>
        <w:t>c) em razão de discriminação racial ou religiosa”.</w:t>
      </w:r>
    </w:p>
    <w:p>
      <w:pPr>
        <w:pStyle w:val="BodyText"/>
        <w:spacing w:before="1"/>
        <w:rPr>
          <w:i/>
          <w:sz w:val="20"/>
        </w:rPr>
      </w:pPr>
    </w:p>
    <w:p>
      <w:pPr>
        <w:pStyle w:val="ListParagraph"/>
        <w:numPr>
          <w:ilvl w:val="0"/>
          <w:numId w:val="2"/>
        </w:numPr>
        <w:tabs>
          <w:tab w:pos="1091" w:val="left" w:leader="none"/>
          <w:tab w:pos="1092" w:val="left" w:leader="none"/>
        </w:tabs>
        <w:spacing w:line="352" w:lineRule="auto" w:before="0" w:after="0"/>
        <w:ind w:left="301" w:right="585" w:firstLine="0"/>
        <w:jc w:val="both"/>
        <w:rPr>
          <w:sz w:val="24"/>
        </w:rPr>
      </w:pPr>
      <w:r>
        <w:rPr>
          <w:sz w:val="24"/>
        </w:rPr>
        <w:t>Lei n° 10.639 de 09 de janeiro de 2003, que obriga a temática “História e Cultura Afro-Brasileira” na Rede de</w:t>
      </w:r>
      <w:r>
        <w:rPr>
          <w:spacing w:val="-3"/>
          <w:sz w:val="24"/>
        </w:rPr>
        <w:t> </w:t>
      </w:r>
      <w:r>
        <w:rPr>
          <w:sz w:val="24"/>
        </w:rPr>
        <w:t>Ensino.</w:t>
      </w:r>
    </w:p>
    <w:p>
      <w:pPr>
        <w:pStyle w:val="ListParagraph"/>
        <w:numPr>
          <w:ilvl w:val="0"/>
          <w:numId w:val="2"/>
        </w:numPr>
        <w:tabs>
          <w:tab w:pos="1091" w:val="left" w:leader="none"/>
          <w:tab w:pos="1092" w:val="left" w:leader="none"/>
        </w:tabs>
        <w:spacing w:line="350" w:lineRule="auto" w:before="7" w:after="0"/>
        <w:ind w:left="301" w:right="583" w:firstLine="0"/>
        <w:jc w:val="both"/>
        <w:rPr>
          <w:sz w:val="24"/>
        </w:rPr>
      </w:pPr>
      <w:r>
        <w:rPr>
          <w:sz w:val="24"/>
        </w:rPr>
        <w:t>Lei n° 10.678 de 23 de maio de 2003, que cria a Secretaria Especial de Políticas de Promoção da Igualdade Racial, da Presidência da</w:t>
      </w:r>
      <w:r>
        <w:rPr>
          <w:spacing w:val="-1"/>
          <w:sz w:val="24"/>
        </w:rPr>
        <w:t> </w:t>
      </w:r>
      <w:r>
        <w:rPr>
          <w:sz w:val="24"/>
        </w:rPr>
        <w:t>República.</w:t>
      </w:r>
    </w:p>
    <w:p>
      <w:pPr>
        <w:pStyle w:val="BodyText"/>
        <w:spacing w:line="360" w:lineRule="auto" w:before="13"/>
        <w:ind w:left="301" w:right="583" w:firstLine="708"/>
        <w:jc w:val="both"/>
      </w:pPr>
      <w:r>
        <w:rPr/>
        <w:t>Em 2003, o senador Paulo Paim, apresentou um projeto de lei n°3.198/00 que seria o “Estatuto da Igualdade Racial, em defesa dos que sofrem preconceito ou discriminação em função de sua etnia, raça e/ou cor”, porém, o projeto ainda não foi aprovado, o que é um ponto a menos para a população afro-descendente, que teria à sua disposição um forte instrumento de combate a discriminação racial.</w:t>
      </w:r>
    </w:p>
    <w:p>
      <w:pPr>
        <w:spacing w:line="360" w:lineRule="auto" w:before="0"/>
        <w:ind w:left="301" w:right="581" w:firstLine="708"/>
        <w:jc w:val="both"/>
        <w:rPr>
          <w:sz w:val="24"/>
        </w:rPr>
      </w:pPr>
      <w:r>
        <w:rPr>
          <w:sz w:val="24"/>
        </w:rPr>
        <w:t>O Brasil é signatário do tratado internacional da “Convenção sobre a eliminação de todas as formas de discriminação racial”, de 1968, que segundo a Constituição da República, deve ser aplicado: “</w:t>
      </w:r>
      <w:r>
        <w:rPr>
          <w:i/>
          <w:sz w:val="24"/>
        </w:rPr>
        <w:t>Art. 5°, §2°: Os direitos e garantias expressos nesta Constituição não </w:t>
      </w:r>
      <w:r>
        <w:rPr>
          <w:i/>
          <w:sz w:val="24"/>
        </w:rPr>
        <w:t>excluem outros decorrentes do regime e dos princípios por ela adotados, ou dos tratados internacionais em que a República Federativa do Brasil seja parte.” </w:t>
      </w:r>
      <w:r>
        <w:rPr>
          <w:sz w:val="24"/>
        </w:rPr>
        <w:t>A respeito da aplicabilidade dos tratados, Hédio Silva Júnior: </w:t>
      </w:r>
      <w:r>
        <w:rPr>
          <w:i/>
          <w:sz w:val="24"/>
        </w:rPr>
        <w:t>“Tal como qualquer lei federal, o tratado </w:t>
      </w:r>
      <w:r>
        <w:rPr>
          <w:i/>
          <w:sz w:val="24"/>
        </w:rPr>
        <w:t>internacional vincula, fixa direitos e deveres e obrigações para a União, Estados, Distrito Federal, municípios e, naturalmente, particulares.”</w:t>
      </w:r>
      <w:r>
        <w:rPr>
          <w:sz w:val="24"/>
        </w:rPr>
        <w:t>(SILVA JÚNIOR, 2003, p. 110). Essa convenção resultou em um tratado que visa à eliminação de todas as formas de discriminação racial, estabelecendo metas a serem cumpridas, como por exemplo, a proibição do </w:t>
      </w:r>
      <w:r>
        <w:rPr>
          <w:i/>
          <w:sz w:val="24"/>
        </w:rPr>
        <w:t>apartheid </w:t>
      </w:r>
      <w:r>
        <w:rPr>
          <w:sz w:val="24"/>
        </w:rPr>
        <w:t>ou de qualquer outro tipo de segregação</w:t>
      </w:r>
      <w:r>
        <w:rPr>
          <w:spacing w:val="-2"/>
          <w:sz w:val="24"/>
        </w:rPr>
        <w:t> </w:t>
      </w:r>
      <w:r>
        <w:rPr>
          <w:sz w:val="24"/>
        </w:rPr>
        <w:t>racial.</w:t>
      </w:r>
    </w:p>
    <w:p>
      <w:pPr>
        <w:pStyle w:val="BodyText"/>
        <w:spacing w:line="360" w:lineRule="auto"/>
        <w:ind w:left="301" w:right="583" w:firstLine="708"/>
        <w:jc w:val="both"/>
      </w:pPr>
      <w:r>
        <w:rPr/>
        <w:t>Na Declaração Universal dos Direitos Humanos, também é presente o repúdio à discriminação racial, conforme seu art. 2°:</w:t>
      </w:r>
    </w:p>
    <w:p>
      <w:pPr>
        <w:spacing w:before="93"/>
        <w:ind w:left="2569" w:right="582" w:firstLine="0"/>
        <w:jc w:val="both"/>
        <w:rPr>
          <w:i/>
          <w:sz w:val="20"/>
        </w:rPr>
      </w:pPr>
      <w:r>
        <w:rPr>
          <w:i/>
          <w:sz w:val="20"/>
        </w:rPr>
        <w:t>“Toda pessoa tem capacidade para gozar os direitos e as liberdades estabelecidas </w:t>
      </w:r>
      <w:r>
        <w:rPr>
          <w:i/>
          <w:sz w:val="20"/>
        </w:rPr>
        <w:t>nesta Declaração, sem distinção de qualquer espécie, seja de raça, cor, sexo, língua, religião, opinião política, ou de outra natureza, origem nacional ou social, riqueza, nascimento, ou qualquer outra</w:t>
      </w:r>
      <w:r>
        <w:rPr>
          <w:i/>
          <w:spacing w:val="1"/>
          <w:sz w:val="20"/>
        </w:rPr>
        <w:t> </w:t>
      </w:r>
      <w:r>
        <w:rPr>
          <w:i/>
          <w:sz w:val="20"/>
        </w:rPr>
        <w:t>condição.”</w:t>
      </w:r>
    </w:p>
    <w:p>
      <w:pPr>
        <w:pStyle w:val="BodyText"/>
        <w:rPr>
          <w:i/>
          <w:sz w:val="22"/>
        </w:rPr>
      </w:pPr>
    </w:p>
    <w:p>
      <w:pPr>
        <w:pStyle w:val="BodyText"/>
        <w:spacing w:before="10"/>
        <w:rPr>
          <w:i/>
          <w:sz w:val="22"/>
        </w:rPr>
      </w:pPr>
    </w:p>
    <w:p>
      <w:pPr>
        <w:pStyle w:val="BodyText"/>
        <w:spacing w:line="360" w:lineRule="auto" w:before="1"/>
        <w:ind w:left="301" w:right="584" w:firstLine="708"/>
        <w:jc w:val="both"/>
      </w:pPr>
      <w:r>
        <w:rPr/>
        <w:t>Quanto à aplicabilidade das leis de combate ao racismo, a partir da diferenciação entre preconceito e discriminação, o professor Hédio Silva Jr (2000), afirma que o preconceito não é</w:t>
      </w:r>
      <w:r>
        <w:rPr>
          <w:spacing w:val="16"/>
        </w:rPr>
        <w:t> </w:t>
      </w:r>
      <w:r>
        <w:rPr/>
        <w:t>passível</w:t>
      </w:r>
      <w:r>
        <w:rPr>
          <w:spacing w:val="18"/>
        </w:rPr>
        <w:t> </w:t>
      </w:r>
      <w:r>
        <w:rPr/>
        <w:t>de</w:t>
      </w:r>
      <w:r>
        <w:rPr>
          <w:spacing w:val="16"/>
        </w:rPr>
        <w:t> </w:t>
      </w:r>
      <w:r>
        <w:rPr/>
        <w:t>punição,</w:t>
      </w:r>
      <w:r>
        <w:rPr>
          <w:spacing w:val="18"/>
        </w:rPr>
        <w:t> </w:t>
      </w:r>
      <w:r>
        <w:rPr/>
        <w:t>tendo</w:t>
      </w:r>
      <w:r>
        <w:rPr>
          <w:spacing w:val="17"/>
        </w:rPr>
        <w:t> </w:t>
      </w:r>
      <w:r>
        <w:rPr/>
        <w:t>em</w:t>
      </w:r>
      <w:r>
        <w:rPr>
          <w:spacing w:val="18"/>
        </w:rPr>
        <w:t> </w:t>
      </w:r>
      <w:r>
        <w:rPr/>
        <w:t>vista</w:t>
      </w:r>
      <w:r>
        <w:rPr>
          <w:spacing w:val="16"/>
        </w:rPr>
        <w:t> </w:t>
      </w:r>
      <w:r>
        <w:rPr/>
        <w:t>se</w:t>
      </w:r>
      <w:r>
        <w:rPr>
          <w:spacing w:val="17"/>
        </w:rPr>
        <w:t> </w:t>
      </w:r>
      <w:r>
        <w:rPr/>
        <w:t>tratar</w:t>
      </w:r>
      <w:r>
        <w:rPr>
          <w:spacing w:val="17"/>
        </w:rPr>
        <w:t> </w:t>
      </w:r>
      <w:r>
        <w:rPr/>
        <w:t>do</w:t>
      </w:r>
      <w:r>
        <w:rPr>
          <w:spacing w:val="17"/>
        </w:rPr>
        <w:t> </w:t>
      </w:r>
      <w:r>
        <w:rPr/>
        <w:t>pensamento</w:t>
      </w:r>
      <w:r>
        <w:rPr>
          <w:spacing w:val="18"/>
        </w:rPr>
        <w:t> </w:t>
      </w:r>
      <w:r>
        <w:rPr/>
        <w:t>não</w:t>
      </w:r>
      <w:r>
        <w:rPr>
          <w:spacing w:val="17"/>
        </w:rPr>
        <w:t> </w:t>
      </w:r>
      <w:r>
        <w:rPr/>
        <w:t>exteriorizado.</w:t>
      </w:r>
      <w:r>
        <w:rPr>
          <w:spacing w:val="18"/>
        </w:rPr>
        <w:t> </w:t>
      </w:r>
      <w:r>
        <w:rPr/>
        <w:t>Nesse</w:t>
      </w:r>
      <w:r>
        <w:rPr>
          <w:spacing w:val="16"/>
        </w:rPr>
        <w:t> </w:t>
      </w:r>
      <w:r>
        <w:rPr/>
        <w:t>caso</w:t>
      </w:r>
    </w:p>
    <w:p>
      <w:pPr>
        <w:spacing w:after="0" w:line="360" w:lineRule="auto"/>
        <w:jc w:val="both"/>
        <w:sectPr>
          <w:pgSz w:w="11900" w:h="16840"/>
          <w:pgMar w:top="1600" w:bottom="280" w:left="1400" w:right="540"/>
        </w:sectPr>
      </w:pPr>
    </w:p>
    <w:p>
      <w:pPr>
        <w:pStyle w:val="BodyText"/>
        <w:spacing w:line="360" w:lineRule="auto" w:before="96"/>
        <w:ind w:left="301" w:right="583"/>
        <w:jc w:val="both"/>
      </w:pPr>
      <w:r>
        <w:rPr/>
        <w:t>caberia, segundo o autor, a tentativa de persuasão por meio da mídia, do sistema educacional e outros instrumentos, dando enfoque à tolerância, ao pluralismo e à diversidade. Já contra a discriminação, entendida pelo o autor como a exteriorização do preconceito, caberia a sanção, a punição. Para aqueles que incentivassem a pluralidade, por meio de cotas ou outras ações, o autor sugere sanções</w:t>
      </w:r>
      <w:r>
        <w:rPr>
          <w:spacing w:val="-3"/>
        </w:rPr>
        <w:t> </w:t>
      </w:r>
      <w:r>
        <w:rPr/>
        <w:t>premiais.</w:t>
      </w:r>
    </w:p>
    <w:p>
      <w:pPr>
        <w:pStyle w:val="BodyText"/>
        <w:rPr>
          <w:sz w:val="26"/>
        </w:rPr>
      </w:pPr>
    </w:p>
    <w:p>
      <w:pPr>
        <w:pStyle w:val="BodyText"/>
        <w:rPr>
          <w:sz w:val="26"/>
        </w:rPr>
      </w:pPr>
    </w:p>
    <w:p>
      <w:pPr>
        <w:pStyle w:val="Heading1"/>
        <w:numPr>
          <w:ilvl w:val="0"/>
          <w:numId w:val="1"/>
        </w:numPr>
        <w:tabs>
          <w:tab w:pos="542" w:val="left" w:leader="none"/>
        </w:tabs>
        <w:spacing w:line="240" w:lineRule="auto" w:before="231" w:after="0"/>
        <w:ind w:left="541" w:right="0" w:hanging="241"/>
        <w:jc w:val="left"/>
      </w:pPr>
      <w:r>
        <w:rPr/>
        <w:t>CONCLUSÃO</w:t>
      </w:r>
    </w:p>
    <w:p>
      <w:pPr>
        <w:pStyle w:val="BodyText"/>
        <w:rPr>
          <w:b/>
          <w:sz w:val="26"/>
        </w:rPr>
      </w:pPr>
    </w:p>
    <w:p>
      <w:pPr>
        <w:pStyle w:val="BodyText"/>
        <w:spacing w:before="7"/>
        <w:rPr>
          <w:b/>
          <w:sz w:val="21"/>
        </w:rPr>
      </w:pPr>
    </w:p>
    <w:p>
      <w:pPr>
        <w:pStyle w:val="BodyText"/>
        <w:spacing w:line="360" w:lineRule="auto"/>
        <w:ind w:left="301" w:right="583" w:firstLine="708"/>
        <w:jc w:val="both"/>
      </w:pPr>
      <w:r>
        <w:rPr/>
        <w:t>O princípio da igualdade é consagrado constitucionalmente, portanto, deve ser observado na sua integridade para que se atenda aos fundamentos do Estado Democrático de Direito de se construir uma sociedade fraterna.</w:t>
      </w:r>
    </w:p>
    <w:p>
      <w:pPr>
        <w:pStyle w:val="BodyText"/>
        <w:spacing w:line="360" w:lineRule="auto"/>
        <w:ind w:left="301" w:right="581" w:firstLine="708"/>
        <w:jc w:val="both"/>
      </w:pPr>
      <w:r>
        <w:rPr/>
        <w:t>Analisando-se as estatísticas apresentadas, pudemos ver que o mito da democracia racial ainda existe no Brasil, mas que não tem fundamento, pois, o racismo ainda é prática visível em nossa sociedade e merece que várias forças se voltem para sua erradicação. A discriminação é visível em todos os segmentos da nossa sociedade, como visto acima, educação, mercado de trabalho, e outras atitudes cotidianas que demonstram que, apesar do segregacionismo brasileiro não ser tão evidente como em países tais como África do Sul e Estados Unidos, ele existe de forma velada e não menos cruel, daí ser necessário o seu reconhecimento para que se lute para o seu fim.</w:t>
      </w:r>
    </w:p>
    <w:p>
      <w:pPr>
        <w:pStyle w:val="BodyText"/>
        <w:rPr>
          <w:sz w:val="26"/>
        </w:rPr>
      </w:pPr>
    </w:p>
    <w:p>
      <w:pPr>
        <w:pStyle w:val="BodyText"/>
        <w:rPr>
          <w:sz w:val="26"/>
        </w:rPr>
      </w:pPr>
    </w:p>
    <w:p>
      <w:pPr>
        <w:pStyle w:val="Heading1"/>
        <w:spacing w:before="229"/>
        <w:ind w:left="301" w:firstLine="0"/>
      </w:pPr>
      <w:r>
        <w:rPr/>
        <w:t>REFERÊNCIAS</w:t>
      </w:r>
    </w:p>
    <w:p>
      <w:pPr>
        <w:pStyle w:val="BodyText"/>
        <w:rPr>
          <w:b/>
          <w:sz w:val="26"/>
        </w:rPr>
      </w:pPr>
    </w:p>
    <w:p>
      <w:pPr>
        <w:pStyle w:val="BodyText"/>
        <w:spacing w:before="4"/>
        <w:rPr>
          <w:b/>
          <w:sz w:val="21"/>
        </w:rPr>
      </w:pPr>
    </w:p>
    <w:p>
      <w:pPr>
        <w:spacing w:before="0"/>
        <w:ind w:left="301" w:right="584" w:firstLine="0"/>
        <w:jc w:val="both"/>
        <w:rPr>
          <w:sz w:val="24"/>
        </w:rPr>
      </w:pPr>
      <w:r>
        <w:rPr>
          <w:sz w:val="24"/>
        </w:rPr>
        <w:t>BERNARDINO, Joaze. </w:t>
      </w:r>
      <w:r>
        <w:rPr>
          <w:b/>
          <w:sz w:val="24"/>
        </w:rPr>
        <w:t>Ação afirmativa e a rediscussão do mito da democracia racial no Brasil. </w:t>
      </w:r>
      <w:r>
        <w:rPr>
          <w:sz w:val="24"/>
        </w:rPr>
        <w:t>[200-]. Disponível em: &lt;</w:t>
      </w:r>
      <w:hyperlink r:id="rId6">
        <w:r>
          <w:rPr>
            <w:color w:val="0000FF"/>
            <w:sz w:val="24"/>
            <w:u w:val="single" w:color="0000FF"/>
          </w:rPr>
          <w:t>http://www.scielo.br/pdf/eaa/v24n2/a02v24n2.pdf</w:t>
        </w:r>
      </w:hyperlink>
      <w:r>
        <w:rPr>
          <w:sz w:val="24"/>
        </w:rPr>
        <w:t>&gt;. Acesso em: 30 ago.</w:t>
      </w:r>
      <w:r>
        <w:rPr>
          <w:spacing w:val="-1"/>
          <w:sz w:val="24"/>
        </w:rPr>
        <w:t> </w:t>
      </w:r>
      <w:r>
        <w:rPr>
          <w:sz w:val="24"/>
        </w:rPr>
        <w:t>2005.</w:t>
      </w:r>
    </w:p>
    <w:p>
      <w:pPr>
        <w:pStyle w:val="BodyText"/>
      </w:pPr>
    </w:p>
    <w:p>
      <w:pPr>
        <w:pStyle w:val="BodyText"/>
        <w:spacing w:before="1"/>
        <w:ind w:left="301" w:right="584"/>
        <w:jc w:val="both"/>
      </w:pPr>
      <w:r>
        <w:rPr/>
        <w:t>CARNEIRO, Sueli. Estratégias legais para promover a justiça social. In: GUIMARÃES, Antônio Sérgio A.; HUNTLEY, Lynn. </w:t>
      </w:r>
      <w:r>
        <w:rPr>
          <w:b/>
        </w:rPr>
        <w:t>Tirando a máscara: </w:t>
      </w:r>
      <w:r>
        <w:rPr/>
        <w:t>ensaio sobre o racismo no Brasil. São Paulo: Paz e Terra, 2000.</w:t>
      </w:r>
    </w:p>
    <w:p>
      <w:pPr>
        <w:pStyle w:val="BodyText"/>
        <w:spacing w:before="9"/>
        <w:rPr>
          <w:sz w:val="23"/>
        </w:rPr>
      </w:pPr>
    </w:p>
    <w:p>
      <w:pPr>
        <w:pStyle w:val="BodyText"/>
        <w:ind w:left="301" w:right="584"/>
        <w:jc w:val="both"/>
      </w:pPr>
      <w:r>
        <w:rPr/>
        <w:t>CRUZ, Álvaro Ricardo de Souza. </w:t>
      </w:r>
      <w:r>
        <w:rPr>
          <w:b/>
        </w:rPr>
        <w:t>O direito à diferença: </w:t>
      </w:r>
      <w:r>
        <w:rPr/>
        <w:t>ações afirmativas como mecanismo de inclusão social de mulheres, negros, homossexuais e pessoas portadoras de deficiência. Belo Horizonte: Del Rey, 2003.</w:t>
      </w:r>
    </w:p>
    <w:p>
      <w:pPr>
        <w:pStyle w:val="BodyText"/>
      </w:pPr>
    </w:p>
    <w:p>
      <w:pPr>
        <w:pStyle w:val="BodyText"/>
        <w:ind w:left="301" w:right="615"/>
      </w:pPr>
      <w:r>
        <w:rPr/>
        <w:t>GUIMARÃES, Antônio Sérgio A.; HUNTLEY, Lynn. </w:t>
      </w:r>
      <w:r>
        <w:rPr>
          <w:b/>
        </w:rPr>
        <w:t>Tirando a máscara: </w:t>
      </w:r>
      <w:r>
        <w:rPr/>
        <w:t>ensaio sobre o racismo no Brasil. São Paulo: Paz e Terra, 2000.</w:t>
      </w:r>
    </w:p>
    <w:p>
      <w:pPr>
        <w:spacing w:after="0"/>
        <w:sectPr>
          <w:pgSz w:w="11900" w:h="16840"/>
          <w:pgMar w:top="1600" w:bottom="280" w:left="1400" w:right="540"/>
        </w:sectPr>
      </w:pPr>
    </w:p>
    <w:p>
      <w:pPr>
        <w:pStyle w:val="BodyText"/>
        <w:spacing w:before="4"/>
      </w:pPr>
    </w:p>
    <w:p>
      <w:pPr>
        <w:pStyle w:val="BodyText"/>
        <w:spacing w:before="89"/>
        <w:ind w:left="301" w:right="584"/>
        <w:jc w:val="both"/>
      </w:pPr>
      <w:r>
        <w:rPr/>
        <w:t>MUNANGA, Kabengele. Políticas de ação afirmativa em benefício da população negra no Brasil: um ponto de vista em defesa das cotas. In: LOBATO, Fátima; SANTOS, Renato Emerson dos (Orgs.) </w:t>
      </w:r>
      <w:r>
        <w:rPr>
          <w:b/>
        </w:rPr>
        <w:t>Ações Afirmativas: </w:t>
      </w:r>
      <w:r>
        <w:rPr/>
        <w:t>políticas públicas contra as desigualdades raciais. Rio de Janeiro: DP&amp;A, 2003.</w:t>
      </w:r>
    </w:p>
    <w:p>
      <w:pPr>
        <w:pStyle w:val="BodyText"/>
        <w:spacing w:before="9"/>
        <w:rPr>
          <w:sz w:val="23"/>
        </w:rPr>
      </w:pPr>
    </w:p>
    <w:p>
      <w:pPr>
        <w:spacing w:before="0"/>
        <w:ind w:left="301" w:right="584" w:firstLine="0"/>
        <w:jc w:val="both"/>
        <w:rPr>
          <w:sz w:val="24"/>
        </w:rPr>
      </w:pPr>
      <w:r>
        <w:rPr>
          <w:sz w:val="24"/>
        </w:rPr>
        <w:t>OLIVEIRA, Eduardo Hp de. Além, do nada: Estado, raça e ação afirmativa. </w:t>
      </w:r>
      <w:r>
        <w:rPr>
          <w:b/>
          <w:sz w:val="24"/>
        </w:rPr>
        <w:t>O racismo no Brasil: a democracia em questão. </w:t>
      </w:r>
      <w:r>
        <w:rPr>
          <w:sz w:val="24"/>
        </w:rPr>
        <w:t>Caderno n. 23. Nov. 1997</w:t>
      </w:r>
    </w:p>
    <w:p>
      <w:pPr>
        <w:pStyle w:val="BodyText"/>
      </w:pPr>
    </w:p>
    <w:p>
      <w:pPr>
        <w:pStyle w:val="BodyText"/>
        <w:spacing w:before="1"/>
        <w:ind w:left="301" w:right="581"/>
        <w:jc w:val="both"/>
      </w:pPr>
      <w:r>
        <w:rPr/>
        <w:t>RIBEIRO, Darcy. </w:t>
      </w:r>
      <w:r>
        <w:rPr>
          <w:b/>
        </w:rPr>
        <w:t>O povo brasileiro: </w:t>
      </w:r>
      <w:r>
        <w:rPr/>
        <w:t>evolução e o sentido do Brasil. São Paulo: Companhia das Letras, 1995.</w:t>
      </w:r>
    </w:p>
    <w:p>
      <w:pPr>
        <w:pStyle w:val="BodyText"/>
        <w:spacing w:before="2"/>
      </w:pPr>
    </w:p>
    <w:p>
      <w:pPr>
        <w:spacing w:line="237" w:lineRule="auto" w:before="0"/>
        <w:ind w:left="301" w:right="584" w:hanging="1"/>
        <w:jc w:val="both"/>
        <w:rPr>
          <w:sz w:val="24"/>
        </w:rPr>
      </w:pPr>
      <w:r>
        <w:rPr>
          <w:sz w:val="24"/>
        </w:rPr>
        <w:t>ROCHA, Carmen Lúcia Antunes. </w:t>
      </w:r>
      <w:r>
        <w:rPr>
          <w:b/>
          <w:sz w:val="24"/>
        </w:rPr>
        <w:t>Cidadania e Constituição: </w:t>
      </w:r>
      <w:r>
        <w:rPr>
          <w:sz w:val="24"/>
        </w:rPr>
        <w:t>“as cores da revolução constitucional do cidadão”. Belo Horizonte, 1999.</w:t>
      </w:r>
    </w:p>
    <w:p>
      <w:pPr>
        <w:pStyle w:val="BodyText"/>
        <w:spacing w:before="1"/>
      </w:pPr>
    </w:p>
    <w:p>
      <w:pPr>
        <w:pStyle w:val="BodyText"/>
        <w:ind w:left="301" w:right="586"/>
        <w:jc w:val="both"/>
      </w:pPr>
      <w:r>
        <w:rPr/>
        <w:t>SANTOS, Hélio. Uma avaliação dos combates às discriminações raciais no Brasil. In: GUIMARÃES, Antônio Sérgio A.; HUNTLEY, Lynn. </w:t>
      </w:r>
      <w:r>
        <w:rPr>
          <w:b/>
        </w:rPr>
        <w:t>Tirando a máscara: </w:t>
      </w:r>
      <w:r>
        <w:rPr/>
        <w:t>ensaio sobre o racismo no Brasil. São Paulo: Paz e Terra, 2000.</w:t>
      </w:r>
    </w:p>
    <w:p>
      <w:pPr>
        <w:pStyle w:val="BodyText"/>
      </w:pPr>
    </w:p>
    <w:p>
      <w:pPr>
        <w:spacing w:line="240" w:lineRule="auto" w:before="0"/>
        <w:ind w:left="301" w:right="581" w:firstLine="0"/>
        <w:jc w:val="both"/>
        <w:rPr>
          <w:sz w:val="24"/>
        </w:rPr>
      </w:pPr>
      <w:r>
        <w:rPr>
          <w:sz w:val="24"/>
        </w:rPr>
        <w:t>SANTOS, Hélio. Discriminação racial no Brasil</w:t>
      </w:r>
      <w:r>
        <w:rPr>
          <w:b/>
          <w:sz w:val="24"/>
        </w:rPr>
        <w:t>. </w:t>
      </w:r>
      <w:r>
        <w:rPr>
          <w:sz w:val="24"/>
        </w:rPr>
        <w:t>In: SABÓIA, Gilberto Vergne; GUIMARÃES, Samuel Pinheiro (orgs.). </w:t>
      </w:r>
      <w:r>
        <w:rPr>
          <w:b/>
          <w:sz w:val="24"/>
        </w:rPr>
        <w:t>Anais de Seminários Regionais Preparatórios para a Conferência Mundial contra o Racismo, Discriminação Racial, Xenofobia e Intolerância Correlata. </w:t>
      </w:r>
      <w:r>
        <w:rPr>
          <w:sz w:val="24"/>
        </w:rPr>
        <w:t>Brasília: Ministério da Justiça,</w:t>
      </w:r>
      <w:r>
        <w:rPr>
          <w:spacing w:val="-1"/>
          <w:sz w:val="24"/>
        </w:rPr>
        <w:t> </w:t>
      </w:r>
      <w:r>
        <w:rPr>
          <w:sz w:val="24"/>
        </w:rPr>
        <w:t>2001.</w:t>
      </w:r>
    </w:p>
    <w:p>
      <w:pPr>
        <w:pStyle w:val="BodyText"/>
        <w:spacing w:before="9"/>
        <w:rPr>
          <w:sz w:val="23"/>
        </w:rPr>
      </w:pPr>
    </w:p>
    <w:p>
      <w:pPr>
        <w:pStyle w:val="BodyText"/>
        <w:ind w:left="301" w:right="587"/>
        <w:jc w:val="both"/>
      </w:pPr>
      <w:r>
        <w:rPr/>
        <w:t>SANTOS, Sales Augusto dos. Ação afirmativa e mérito individual. In: LOBATO, Fátima; SANTOS, Renato Emerson dos (Orgs.) </w:t>
      </w:r>
      <w:r>
        <w:rPr>
          <w:b/>
        </w:rPr>
        <w:t>Ações Afirmativas: </w:t>
      </w:r>
      <w:r>
        <w:rPr/>
        <w:t>políticas públicas contra as desigualdades raciais. Rio de Janeiro: DP&amp;A, 2003.</w:t>
      </w:r>
    </w:p>
    <w:p>
      <w:pPr>
        <w:pStyle w:val="BodyText"/>
      </w:pPr>
    </w:p>
    <w:p>
      <w:pPr>
        <w:pStyle w:val="BodyText"/>
        <w:ind w:left="301" w:right="581"/>
        <w:jc w:val="both"/>
      </w:pPr>
      <w:r>
        <w:rPr/>
        <w:t>SCHUWARCZ, Lilia Moritiz. Nem preto nem branco, muito pelo contrário: cor e raça na intimidade. In: SCHUWARCZ, Lilia Moritiz. </w:t>
      </w:r>
      <w:r>
        <w:rPr>
          <w:b/>
        </w:rPr>
        <w:t>A História da vida privada no Brasil: </w:t>
      </w:r>
      <w:r>
        <w:rPr/>
        <w:t>contrastes da intimidade contemporânea. São Paulo: Companhia das Letras, 1998.</w:t>
      </w:r>
    </w:p>
    <w:p>
      <w:pPr>
        <w:pStyle w:val="BodyText"/>
      </w:pPr>
    </w:p>
    <w:p>
      <w:pPr>
        <w:pStyle w:val="BodyText"/>
        <w:ind w:left="301" w:right="526"/>
        <w:jc w:val="both"/>
      </w:pPr>
      <w:r>
        <w:rPr/>
        <w:t>SILVA, Petronilha Beatriz Gonçalves e. Negros na universidade e produção do conhecimento. In: LOBATO, Fátima; SANTOS, Renato Emerson dos (Orgs.) </w:t>
      </w:r>
      <w:r>
        <w:rPr>
          <w:b/>
        </w:rPr>
        <w:t>Ações Afirmativas: </w:t>
      </w:r>
      <w:r>
        <w:rPr/>
        <w:t>políticas públicas contra as desigualdades raciais. Rio de Janeiro: DP&amp;A, 2003.</w:t>
      </w:r>
    </w:p>
    <w:p>
      <w:pPr>
        <w:pStyle w:val="BodyText"/>
        <w:spacing w:before="9"/>
        <w:rPr>
          <w:sz w:val="23"/>
        </w:rPr>
      </w:pPr>
    </w:p>
    <w:p>
      <w:pPr>
        <w:pStyle w:val="BodyText"/>
        <w:ind w:left="301" w:right="584"/>
        <w:jc w:val="both"/>
      </w:pPr>
      <w:r>
        <w:rPr/>
        <w:t>SILVA, Petronilha Beatriz Gonçalves e; SILVÉRIO, Valter Roberto. </w:t>
      </w:r>
      <w:r>
        <w:rPr>
          <w:b/>
        </w:rPr>
        <w:t>Educação e ações afirmativas </w:t>
      </w:r>
      <w:r>
        <w:rPr/>
        <w:t>– entre a injustiça simbólica e a injustiça econômica. Brasília: Instituto Nacional de Estudos e Pesquisas Educacionais Anísio Teixeira, 2003.</w:t>
      </w:r>
    </w:p>
    <w:p>
      <w:pPr>
        <w:pStyle w:val="BodyText"/>
      </w:pPr>
    </w:p>
    <w:p>
      <w:pPr>
        <w:pStyle w:val="BodyText"/>
        <w:spacing w:before="1"/>
        <w:ind w:left="301" w:right="584"/>
        <w:jc w:val="both"/>
      </w:pPr>
      <w:r>
        <w:rPr/>
        <w:t>SILVA JÚNIOR, Hédio. Ação afirmativa para negros (as) nas universidades: a concretização do princípio constitucional da igualdade. In: LOBATO, Fátima; SANTOS, Renato Emerson dos (Orgs.) </w:t>
      </w:r>
      <w:r>
        <w:rPr>
          <w:b/>
        </w:rPr>
        <w:t>Ações Afirmativas: </w:t>
      </w:r>
      <w:r>
        <w:rPr/>
        <w:t>políticas públicas contra as desigualdades raciais. Rio de Janeiro: DP&amp;A, 2003.</w:t>
      </w:r>
    </w:p>
    <w:p>
      <w:pPr>
        <w:pStyle w:val="BodyText"/>
        <w:spacing w:before="9"/>
        <w:rPr>
          <w:sz w:val="23"/>
        </w:rPr>
      </w:pPr>
    </w:p>
    <w:p>
      <w:pPr>
        <w:pStyle w:val="BodyText"/>
        <w:ind w:left="301" w:right="584"/>
        <w:jc w:val="both"/>
      </w:pPr>
      <w:r>
        <w:rPr/>
        <w:t>SILVA JÚNIOR, Hédio. Do racismo legal ao princípio da ação afirmativa: a lei como obstáculo e como instrumento dos direitos e interesses do povo negro. In: GUIMARÃES, Antônio Sérgio A.; HUNTLEY, Lynn. </w:t>
      </w:r>
      <w:r>
        <w:rPr>
          <w:b/>
        </w:rPr>
        <w:t>Tirando a máscara: </w:t>
      </w:r>
      <w:r>
        <w:rPr/>
        <w:t>ensaio sobre o racismo no Brasil. São Paulo: Paz e Terra, 2000.</w:t>
      </w:r>
    </w:p>
    <w:p>
      <w:pPr>
        <w:spacing w:after="0"/>
        <w:jc w:val="both"/>
        <w:sectPr>
          <w:pgSz w:w="11900" w:h="16840"/>
          <w:pgMar w:top="1600" w:bottom="280" w:left="1400" w:right="540"/>
        </w:sectPr>
      </w:pPr>
    </w:p>
    <w:p>
      <w:pPr>
        <w:spacing w:before="93"/>
        <w:ind w:left="301" w:right="615" w:firstLine="0"/>
        <w:jc w:val="left"/>
        <w:rPr>
          <w:sz w:val="24"/>
        </w:rPr>
      </w:pPr>
      <w:r>
        <w:rPr>
          <w:sz w:val="24"/>
        </w:rPr>
        <w:t>TOMEI, Manuela. </w:t>
      </w:r>
      <w:r>
        <w:rPr>
          <w:b/>
          <w:sz w:val="24"/>
        </w:rPr>
        <w:t>Ação afirmativa para a igualdade racial: </w:t>
      </w:r>
      <w:r>
        <w:rPr>
          <w:sz w:val="24"/>
        </w:rPr>
        <w:t>características, impactos e desafios. Brasília: OIT, 2005.</w:t>
      </w:r>
    </w:p>
    <w:sectPr>
      <w:pgSz w:w="11900" w:h="16840"/>
      <w:pgMar w:top="1600" w:bottom="280" w:left="1400" w:right="5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301" w:hanging="790"/>
      </w:pPr>
      <w:rPr>
        <w:rFonts w:hint="default" w:ascii="Symbol" w:hAnsi="Symbol" w:eastAsia="Symbol" w:cs="Symbol"/>
        <w:w w:val="99"/>
        <w:sz w:val="24"/>
        <w:szCs w:val="24"/>
        <w:lang w:val="pt-PT" w:eastAsia="en-US" w:bidi="ar-SA"/>
      </w:rPr>
    </w:lvl>
    <w:lvl w:ilvl="1">
      <w:start w:val="0"/>
      <w:numFmt w:val="bullet"/>
      <w:lvlText w:val="•"/>
      <w:lvlJc w:val="left"/>
      <w:pPr>
        <w:ind w:left="1266" w:hanging="790"/>
      </w:pPr>
      <w:rPr>
        <w:rFonts w:hint="default"/>
        <w:lang w:val="pt-PT" w:eastAsia="en-US" w:bidi="ar-SA"/>
      </w:rPr>
    </w:lvl>
    <w:lvl w:ilvl="2">
      <w:start w:val="0"/>
      <w:numFmt w:val="bullet"/>
      <w:lvlText w:val="•"/>
      <w:lvlJc w:val="left"/>
      <w:pPr>
        <w:ind w:left="2232" w:hanging="790"/>
      </w:pPr>
      <w:rPr>
        <w:rFonts w:hint="default"/>
        <w:lang w:val="pt-PT" w:eastAsia="en-US" w:bidi="ar-SA"/>
      </w:rPr>
    </w:lvl>
    <w:lvl w:ilvl="3">
      <w:start w:val="0"/>
      <w:numFmt w:val="bullet"/>
      <w:lvlText w:val="•"/>
      <w:lvlJc w:val="left"/>
      <w:pPr>
        <w:ind w:left="3198" w:hanging="790"/>
      </w:pPr>
      <w:rPr>
        <w:rFonts w:hint="default"/>
        <w:lang w:val="pt-PT" w:eastAsia="en-US" w:bidi="ar-SA"/>
      </w:rPr>
    </w:lvl>
    <w:lvl w:ilvl="4">
      <w:start w:val="0"/>
      <w:numFmt w:val="bullet"/>
      <w:lvlText w:val="•"/>
      <w:lvlJc w:val="left"/>
      <w:pPr>
        <w:ind w:left="4164" w:hanging="790"/>
      </w:pPr>
      <w:rPr>
        <w:rFonts w:hint="default"/>
        <w:lang w:val="pt-PT" w:eastAsia="en-US" w:bidi="ar-SA"/>
      </w:rPr>
    </w:lvl>
    <w:lvl w:ilvl="5">
      <w:start w:val="0"/>
      <w:numFmt w:val="bullet"/>
      <w:lvlText w:val="•"/>
      <w:lvlJc w:val="left"/>
      <w:pPr>
        <w:ind w:left="5130" w:hanging="790"/>
      </w:pPr>
      <w:rPr>
        <w:rFonts w:hint="default"/>
        <w:lang w:val="pt-PT" w:eastAsia="en-US" w:bidi="ar-SA"/>
      </w:rPr>
    </w:lvl>
    <w:lvl w:ilvl="6">
      <w:start w:val="0"/>
      <w:numFmt w:val="bullet"/>
      <w:lvlText w:val="•"/>
      <w:lvlJc w:val="left"/>
      <w:pPr>
        <w:ind w:left="6096" w:hanging="790"/>
      </w:pPr>
      <w:rPr>
        <w:rFonts w:hint="default"/>
        <w:lang w:val="pt-PT" w:eastAsia="en-US" w:bidi="ar-SA"/>
      </w:rPr>
    </w:lvl>
    <w:lvl w:ilvl="7">
      <w:start w:val="0"/>
      <w:numFmt w:val="bullet"/>
      <w:lvlText w:val="•"/>
      <w:lvlJc w:val="left"/>
      <w:pPr>
        <w:ind w:left="7062" w:hanging="790"/>
      </w:pPr>
      <w:rPr>
        <w:rFonts w:hint="default"/>
        <w:lang w:val="pt-PT" w:eastAsia="en-US" w:bidi="ar-SA"/>
      </w:rPr>
    </w:lvl>
    <w:lvl w:ilvl="8">
      <w:start w:val="0"/>
      <w:numFmt w:val="bullet"/>
      <w:lvlText w:val="•"/>
      <w:lvlJc w:val="left"/>
      <w:pPr>
        <w:ind w:left="8028" w:hanging="790"/>
      </w:pPr>
      <w:rPr>
        <w:rFonts w:hint="default"/>
        <w:lang w:val="pt-PT" w:eastAsia="en-US" w:bidi="ar-SA"/>
      </w:rPr>
    </w:lvl>
  </w:abstractNum>
  <w:abstractNum w:abstractNumId="0">
    <w:multiLevelType w:val="hybridMultilevel"/>
    <w:lvl w:ilvl="0">
      <w:start w:val="1"/>
      <w:numFmt w:val="decimal"/>
      <w:lvlText w:val="%1."/>
      <w:lvlJc w:val="left"/>
      <w:pPr>
        <w:ind w:left="541" w:hanging="240"/>
        <w:jc w:val="left"/>
      </w:pPr>
      <w:rPr>
        <w:rFonts w:hint="default" w:ascii="Times New Roman" w:hAnsi="Times New Roman" w:eastAsia="Times New Roman" w:cs="Times New Roman"/>
        <w:b/>
        <w:bCs/>
        <w:w w:val="99"/>
        <w:sz w:val="24"/>
        <w:szCs w:val="24"/>
        <w:lang w:val="pt-PT" w:eastAsia="en-US" w:bidi="ar-SA"/>
      </w:rPr>
    </w:lvl>
    <w:lvl w:ilvl="1">
      <w:start w:val="1"/>
      <w:numFmt w:val="decimal"/>
      <w:lvlText w:val="%1.%2"/>
      <w:lvlJc w:val="left"/>
      <w:pPr>
        <w:ind w:left="661" w:hanging="360"/>
        <w:jc w:val="left"/>
      </w:pPr>
      <w:rPr>
        <w:rFonts w:hint="default" w:ascii="Times New Roman" w:hAnsi="Times New Roman" w:eastAsia="Times New Roman" w:cs="Times New Roman"/>
        <w:b/>
        <w:bCs/>
        <w:w w:val="99"/>
        <w:sz w:val="24"/>
        <w:szCs w:val="24"/>
        <w:lang w:val="pt-PT" w:eastAsia="en-US" w:bidi="ar-SA"/>
      </w:rPr>
    </w:lvl>
    <w:lvl w:ilvl="2">
      <w:start w:val="1"/>
      <w:numFmt w:val="decimal"/>
      <w:lvlText w:val="%1.%2.%3"/>
      <w:lvlJc w:val="left"/>
      <w:pPr>
        <w:ind w:left="841" w:hanging="540"/>
        <w:jc w:val="left"/>
      </w:pPr>
      <w:rPr>
        <w:rFonts w:hint="default" w:ascii="Times New Roman" w:hAnsi="Times New Roman" w:eastAsia="Times New Roman" w:cs="Times New Roman"/>
        <w:b/>
        <w:bCs/>
        <w:w w:val="99"/>
        <w:sz w:val="24"/>
        <w:szCs w:val="24"/>
        <w:lang w:val="pt-PT" w:eastAsia="en-US" w:bidi="ar-SA"/>
      </w:rPr>
    </w:lvl>
    <w:lvl w:ilvl="3">
      <w:start w:val="0"/>
      <w:numFmt w:val="bullet"/>
      <w:lvlText w:val="•"/>
      <w:lvlJc w:val="left"/>
      <w:pPr>
        <w:ind w:left="1980" w:hanging="540"/>
      </w:pPr>
      <w:rPr>
        <w:rFonts w:hint="default"/>
        <w:lang w:val="pt-PT" w:eastAsia="en-US" w:bidi="ar-SA"/>
      </w:rPr>
    </w:lvl>
    <w:lvl w:ilvl="4">
      <w:start w:val="0"/>
      <w:numFmt w:val="bullet"/>
      <w:lvlText w:val="•"/>
      <w:lvlJc w:val="left"/>
      <w:pPr>
        <w:ind w:left="3120" w:hanging="540"/>
      </w:pPr>
      <w:rPr>
        <w:rFonts w:hint="default"/>
        <w:lang w:val="pt-PT" w:eastAsia="en-US" w:bidi="ar-SA"/>
      </w:rPr>
    </w:lvl>
    <w:lvl w:ilvl="5">
      <w:start w:val="0"/>
      <w:numFmt w:val="bullet"/>
      <w:lvlText w:val="•"/>
      <w:lvlJc w:val="left"/>
      <w:pPr>
        <w:ind w:left="4260" w:hanging="540"/>
      </w:pPr>
      <w:rPr>
        <w:rFonts w:hint="default"/>
        <w:lang w:val="pt-PT" w:eastAsia="en-US" w:bidi="ar-SA"/>
      </w:rPr>
    </w:lvl>
    <w:lvl w:ilvl="6">
      <w:start w:val="0"/>
      <w:numFmt w:val="bullet"/>
      <w:lvlText w:val="•"/>
      <w:lvlJc w:val="left"/>
      <w:pPr>
        <w:ind w:left="5400" w:hanging="540"/>
      </w:pPr>
      <w:rPr>
        <w:rFonts w:hint="default"/>
        <w:lang w:val="pt-PT" w:eastAsia="en-US" w:bidi="ar-SA"/>
      </w:rPr>
    </w:lvl>
    <w:lvl w:ilvl="7">
      <w:start w:val="0"/>
      <w:numFmt w:val="bullet"/>
      <w:lvlText w:val="•"/>
      <w:lvlJc w:val="left"/>
      <w:pPr>
        <w:ind w:left="6540" w:hanging="540"/>
      </w:pPr>
      <w:rPr>
        <w:rFonts w:hint="default"/>
        <w:lang w:val="pt-PT" w:eastAsia="en-US" w:bidi="ar-SA"/>
      </w:rPr>
    </w:lvl>
    <w:lvl w:ilvl="8">
      <w:start w:val="0"/>
      <w:numFmt w:val="bullet"/>
      <w:lvlText w:val="•"/>
      <w:lvlJc w:val="left"/>
      <w:pPr>
        <w:ind w:left="7680" w:hanging="540"/>
      </w:pPr>
      <w:rPr>
        <w:rFonts w:hint="default"/>
        <w:lang w:val="pt-PT"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pt-PT"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pt-PT" w:eastAsia="en-US" w:bidi="ar-SA"/>
    </w:rPr>
  </w:style>
  <w:style w:styleId="Heading1" w:type="paragraph">
    <w:name w:val="Heading 1"/>
    <w:basedOn w:val="Normal"/>
    <w:uiPriority w:val="1"/>
    <w:qFormat/>
    <w:pPr>
      <w:ind w:left="661" w:hanging="361"/>
      <w:outlineLvl w:val="1"/>
    </w:pPr>
    <w:rPr>
      <w:rFonts w:ascii="Times New Roman" w:hAnsi="Times New Roman" w:eastAsia="Times New Roman" w:cs="Times New Roman"/>
      <w:b/>
      <w:bCs/>
      <w:sz w:val="24"/>
      <w:szCs w:val="24"/>
      <w:lang w:val="pt-PT" w:eastAsia="en-US" w:bidi="ar-SA"/>
    </w:rPr>
  </w:style>
  <w:style w:styleId="Title" w:type="paragraph">
    <w:name w:val="Title"/>
    <w:basedOn w:val="Normal"/>
    <w:uiPriority w:val="1"/>
    <w:qFormat/>
    <w:pPr>
      <w:spacing w:before="99"/>
      <w:ind w:left="639"/>
    </w:pPr>
    <w:rPr>
      <w:rFonts w:ascii="Times New Roman" w:hAnsi="Times New Roman" w:eastAsia="Times New Roman" w:cs="Times New Roman"/>
      <w:b/>
      <w:bCs/>
      <w:sz w:val="28"/>
      <w:szCs w:val="28"/>
      <w:lang w:val="pt-PT" w:eastAsia="en-US" w:bidi="ar-SA"/>
    </w:rPr>
  </w:style>
  <w:style w:styleId="ListParagraph" w:type="paragraph">
    <w:name w:val="List Paragraph"/>
    <w:basedOn w:val="Normal"/>
    <w:uiPriority w:val="1"/>
    <w:qFormat/>
    <w:pPr>
      <w:ind w:left="301"/>
    </w:pPr>
    <w:rPr>
      <w:rFonts w:ascii="Times New Roman" w:hAnsi="Times New Roman" w:eastAsia="Times New Roman" w:cs="Times New Roman"/>
      <w:lang w:val="pt-PT" w:eastAsia="en-US" w:bidi="ar-SA"/>
    </w:rPr>
  </w:style>
  <w:style w:styleId="TableParagraph" w:type="paragraph">
    <w:name w:val="Table Paragraph"/>
    <w:basedOn w:val="Normal"/>
    <w:uiPriority w:val="1"/>
    <w:qFormat/>
    <w:pPr>
      <w:spacing w:line="270" w:lineRule="exact"/>
      <w:ind w:left="69"/>
    </w:pPr>
    <w:rPr>
      <w:rFonts w:ascii="Times New Roman" w:hAnsi="Times New Roman" w:eastAsia="Times New Roman" w:cs="Times New Roman"/>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barbaralobo@hotmail.com" TargetMode="External"/><Relationship Id="rId6" Type="http://schemas.openxmlformats.org/officeDocument/2006/relationships/hyperlink" Target="http://www.scielo.br/pdf/eaa/v24n2/a02v24n2.pdf" TargetMode="External"/><Relationship Id="rId7" Type="http://schemas.openxmlformats.org/officeDocument/2006/relationships/hyperlink" Target="http://www.anped.org.br/24/T03410943430938.doc" TargetMode="Externa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110336</dc:creator>
  <dc:title>(Microsoft Word - 037 - A DISCRIMINA\307\303O RACIAL NO BRASIL - VERDADES E MITOS.doc)</dc:title>
  <dcterms:created xsi:type="dcterms:W3CDTF">2021-09-12T14:01:13Z</dcterms:created>
  <dcterms:modified xsi:type="dcterms:W3CDTF">2021-09-12T14:01:13Z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2009-04-01T00:00:00Z</vt:filetime>
  </property>
  <property fmtid="{D5CDD505-2E9C-101B-9397-08002B2CF9AE}" pid="3" name="Creator">
    <vt:lpwstr>PScript5.dll Version 5.2</vt:lpwstr>
  </property>
  <property fmtid="{D5CDD505-2E9C-101B-9397-08002B2CF9AE}" pid="4" name="LastSaved">
    <vt:filetime>2021-09-12T00:00:00Z</vt:filetime>
  </property>
</Properties>
</file>