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997D47" w14:textId="77777777" w:rsidR="00777166" w:rsidRDefault="00777166" w:rsidP="00777166">
      <w:pPr>
        <w:tabs>
          <w:tab w:val="left" w:pos="4253"/>
        </w:tabs>
        <w:ind w:left="1560" w:hanging="284"/>
      </w:pPr>
    </w:p>
    <w:p w14:paraId="1735CB3A" w14:textId="77777777" w:rsidR="00777166" w:rsidRDefault="00777166" w:rsidP="00604B34">
      <w:pPr>
        <w:pStyle w:val="Default"/>
        <w:spacing w:line="360" w:lineRule="auto"/>
        <w:jc w:val="center"/>
        <w:rPr>
          <w:b/>
          <w:bCs/>
        </w:rPr>
      </w:pPr>
    </w:p>
    <w:p w14:paraId="06C5E1E9" w14:textId="77777777" w:rsidR="00777166" w:rsidRDefault="00777166" w:rsidP="00604B34">
      <w:pPr>
        <w:pStyle w:val="Default"/>
        <w:spacing w:line="360" w:lineRule="auto"/>
        <w:jc w:val="center"/>
        <w:rPr>
          <w:b/>
          <w:bCs/>
        </w:rPr>
      </w:pPr>
    </w:p>
    <w:p w14:paraId="40180352" w14:textId="77777777" w:rsidR="00777166" w:rsidRPr="00777166" w:rsidRDefault="00777166" w:rsidP="00777166">
      <w:pPr>
        <w:spacing w:after="160"/>
        <w:jc w:val="center"/>
        <w:rPr>
          <w:rFonts w:ascii="Bookman Old Style" w:hAnsi="Bookman Old Style" w:cs="Times New Roman"/>
          <w:b w:val="0"/>
        </w:rPr>
      </w:pPr>
    </w:p>
    <w:p w14:paraId="74443288" w14:textId="77777777" w:rsidR="00777166" w:rsidRPr="00777166" w:rsidRDefault="00777166" w:rsidP="00777166">
      <w:pPr>
        <w:spacing w:after="160"/>
        <w:jc w:val="center"/>
        <w:rPr>
          <w:rFonts w:cs="Times New Roman"/>
          <w:b w:val="0"/>
        </w:rPr>
      </w:pPr>
      <w:r w:rsidRPr="00777166">
        <w:rPr>
          <w:rFonts w:cs="Times New Roman"/>
        </w:rPr>
        <w:t>DEPARTAMENTO DE DIREITO</w:t>
      </w:r>
    </w:p>
    <w:p w14:paraId="77539220" w14:textId="77777777" w:rsidR="00777166" w:rsidRPr="00777166" w:rsidRDefault="00777166" w:rsidP="00777166">
      <w:pPr>
        <w:spacing w:after="160"/>
        <w:jc w:val="center"/>
        <w:rPr>
          <w:rFonts w:cs="Times New Roman"/>
          <w:b w:val="0"/>
        </w:rPr>
      </w:pPr>
      <w:r w:rsidRPr="00777166">
        <w:rPr>
          <w:rFonts w:cs="Times New Roman"/>
        </w:rPr>
        <w:t>MESTRADO EM DIREITO</w:t>
      </w:r>
    </w:p>
    <w:p w14:paraId="5C19C63E" w14:textId="77777777" w:rsidR="00777166" w:rsidRPr="00777166" w:rsidRDefault="00777166" w:rsidP="00777166">
      <w:pPr>
        <w:spacing w:after="160"/>
        <w:jc w:val="center"/>
        <w:rPr>
          <w:rFonts w:cs="Times New Roman"/>
          <w:b w:val="0"/>
        </w:rPr>
      </w:pPr>
      <w:r w:rsidRPr="00777166">
        <w:rPr>
          <w:rFonts w:cs="Times New Roman"/>
        </w:rPr>
        <w:t>ESPECIALIDADE EM CIÊNCIAS JURÍDICAS</w:t>
      </w:r>
    </w:p>
    <w:p w14:paraId="63D712A9" w14:textId="77777777" w:rsidR="00777166" w:rsidRPr="00777166" w:rsidRDefault="00777166" w:rsidP="00777166">
      <w:pPr>
        <w:spacing w:after="160"/>
        <w:jc w:val="center"/>
        <w:rPr>
          <w:rFonts w:cs="Times New Roman"/>
          <w:b w:val="0"/>
        </w:rPr>
      </w:pPr>
      <w:r w:rsidRPr="00777166">
        <w:rPr>
          <w:rFonts w:cs="Times New Roman"/>
        </w:rPr>
        <w:t>UNIVERSIDADE AUTÓNOMA DE LISBOA</w:t>
      </w:r>
    </w:p>
    <w:p w14:paraId="4CF3CAF0" w14:textId="77777777" w:rsidR="00777166" w:rsidRPr="00777166" w:rsidRDefault="00777166" w:rsidP="00777166">
      <w:pPr>
        <w:spacing w:after="160"/>
        <w:jc w:val="center"/>
        <w:rPr>
          <w:rFonts w:cs="Times New Roman"/>
          <w:b w:val="0"/>
        </w:rPr>
      </w:pPr>
      <w:r w:rsidRPr="00777166">
        <w:rPr>
          <w:rFonts w:cs="Times New Roman"/>
        </w:rPr>
        <w:t>“LUÍS DE CAMÕES”</w:t>
      </w:r>
    </w:p>
    <w:p w14:paraId="3FBD4875" w14:textId="77777777" w:rsidR="00777166" w:rsidRPr="00777166" w:rsidRDefault="00777166" w:rsidP="00777166">
      <w:pPr>
        <w:spacing w:after="160"/>
        <w:jc w:val="center"/>
        <w:rPr>
          <w:rFonts w:cs="Times New Roman"/>
        </w:rPr>
      </w:pPr>
    </w:p>
    <w:p w14:paraId="5B91803A" w14:textId="77777777" w:rsidR="00777166" w:rsidRPr="00777166" w:rsidRDefault="00777166" w:rsidP="00777166">
      <w:pPr>
        <w:spacing w:after="160"/>
        <w:jc w:val="center"/>
        <w:rPr>
          <w:rFonts w:cs="Times New Roman"/>
        </w:rPr>
      </w:pPr>
    </w:p>
    <w:p w14:paraId="77F11519" w14:textId="77777777" w:rsidR="00777166" w:rsidRPr="00695772" w:rsidRDefault="00777166" w:rsidP="00777166">
      <w:pPr>
        <w:spacing w:after="160"/>
        <w:jc w:val="center"/>
        <w:rPr>
          <w:rFonts w:cs="Times New Roman"/>
          <w:b w:val="0"/>
          <w:sz w:val="28"/>
          <w:szCs w:val="28"/>
        </w:rPr>
      </w:pPr>
      <w:r w:rsidRPr="00695772">
        <w:rPr>
          <w:rFonts w:cs="Times New Roman"/>
          <w:sz w:val="28"/>
          <w:szCs w:val="28"/>
        </w:rPr>
        <w:t>O RECONHECIMENTO SOCIOAFETIVO DE FILIAÇÃO NO DIREITO LUSO-BRASILEIRO</w:t>
      </w:r>
    </w:p>
    <w:p w14:paraId="76C34CBA" w14:textId="77777777" w:rsidR="00777166" w:rsidRPr="00777166" w:rsidRDefault="00777166" w:rsidP="00777166">
      <w:pPr>
        <w:spacing w:after="160"/>
        <w:jc w:val="center"/>
        <w:rPr>
          <w:rFonts w:cs="Times New Roman"/>
          <w:b w:val="0"/>
        </w:rPr>
      </w:pPr>
    </w:p>
    <w:p w14:paraId="3D636419" w14:textId="77777777" w:rsidR="00777166" w:rsidRPr="00777166" w:rsidRDefault="00777166" w:rsidP="00777166">
      <w:pPr>
        <w:spacing w:after="160"/>
        <w:jc w:val="center"/>
        <w:rPr>
          <w:rFonts w:cs="Times New Roman"/>
          <w:b w:val="0"/>
          <w:bCs/>
        </w:rPr>
      </w:pPr>
      <w:r w:rsidRPr="00777166">
        <w:rPr>
          <w:rFonts w:cs="Times New Roman"/>
          <w:b w:val="0"/>
          <w:bCs/>
        </w:rPr>
        <w:t>Dissertação para a obtenção do grau de Mestre em Direito</w:t>
      </w:r>
    </w:p>
    <w:p w14:paraId="2903D58C" w14:textId="77777777" w:rsidR="00777166" w:rsidRPr="00777166" w:rsidRDefault="00777166" w:rsidP="00777166">
      <w:pPr>
        <w:spacing w:after="160"/>
        <w:jc w:val="center"/>
        <w:rPr>
          <w:rFonts w:cs="Times New Roman"/>
        </w:rPr>
      </w:pPr>
    </w:p>
    <w:p w14:paraId="132413C2" w14:textId="77777777" w:rsidR="00777166" w:rsidRPr="00777166" w:rsidRDefault="00777166" w:rsidP="00777166">
      <w:pPr>
        <w:spacing w:after="160"/>
        <w:jc w:val="center"/>
        <w:rPr>
          <w:rFonts w:cs="Times New Roman"/>
        </w:rPr>
      </w:pPr>
    </w:p>
    <w:p w14:paraId="6A16C048" w14:textId="77777777" w:rsidR="00777166" w:rsidRPr="00777166" w:rsidRDefault="00777166" w:rsidP="00777166">
      <w:pPr>
        <w:spacing w:after="160"/>
        <w:rPr>
          <w:rFonts w:cs="Times New Roman"/>
          <w:b w:val="0"/>
        </w:rPr>
      </w:pPr>
    </w:p>
    <w:p w14:paraId="05DB7CF3" w14:textId="77777777" w:rsidR="00777166" w:rsidRPr="00CA1FD0" w:rsidRDefault="00777166" w:rsidP="00777166">
      <w:pPr>
        <w:spacing w:after="160"/>
        <w:rPr>
          <w:rFonts w:cs="Times New Roman"/>
          <w:b w:val="0"/>
          <w:bCs/>
        </w:rPr>
      </w:pPr>
      <w:r w:rsidRPr="00CA1FD0">
        <w:rPr>
          <w:rFonts w:cs="Times New Roman"/>
          <w:b w:val="0"/>
          <w:bCs/>
        </w:rPr>
        <w:t>Autora: Erika Kazumi Kashiwagi</w:t>
      </w:r>
    </w:p>
    <w:p w14:paraId="5055343E" w14:textId="77777777" w:rsidR="00777166" w:rsidRPr="00CA1FD0" w:rsidRDefault="00777166" w:rsidP="00777166">
      <w:pPr>
        <w:spacing w:after="160"/>
        <w:rPr>
          <w:rFonts w:cs="Times New Roman"/>
          <w:b w:val="0"/>
          <w:bCs/>
        </w:rPr>
      </w:pPr>
      <w:r w:rsidRPr="00CA1FD0">
        <w:rPr>
          <w:rFonts w:cs="Times New Roman"/>
          <w:b w:val="0"/>
          <w:bCs/>
        </w:rPr>
        <w:t>Orientador: Professor Doutor Alex Sander Xavier Pires</w:t>
      </w:r>
    </w:p>
    <w:p w14:paraId="6FC210AD" w14:textId="77777777" w:rsidR="00777166" w:rsidRPr="00CA1FD0" w:rsidRDefault="00777166" w:rsidP="00777166">
      <w:pPr>
        <w:spacing w:after="160"/>
        <w:rPr>
          <w:rFonts w:cs="Times New Roman"/>
          <w:b w:val="0"/>
          <w:bCs/>
        </w:rPr>
      </w:pPr>
      <w:r w:rsidRPr="00CA1FD0">
        <w:rPr>
          <w:rFonts w:cs="Times New Roman"/>
          <w:b w:val="0"/>
          <w:bCs/>
        </w:rPr>
        <w:t>Número da candidata: 20161157</w:t>
      </w:r>
    </w:p>
    <w:p w14:paraId="0306BB1B" w14:textId="77777777" w:rsidR="00777166" w:rsidRPr="00777166" w:rsidRDefault="00777166" w:rsidP="00777166">
      <w:pPr>
        <w:spacing w:after="160"/>
        <w:rPr>
          <w:rFonts w:cs="Times New Roman"/>
        </w:rPr>
      </w:pPr>
    </w:p>
    <w:p w14:paraId="3444B0D5" w14:textId="77777777" w:rsidR="00777166" w:rsidRPr="00777166" w:rsidRDefault="00777166" w:rsidP="00777166">
      <w:pPr>
        <w:spacing w:after="160"/>
        <w:rPr>
          <w:rFonts w:cs="Times New Roman"/>
        </w:rPr>
      </w:pPr>
    </w:p>
    <w:p w14:paraId="4A40B3CC" w14:textId="34A2BCB1" w:rsidR="00777166" w:rsidRPr="00777166" w:rsidRDefault="00C90AF8" w:rsidP="00777166">
      <w:pPr>
        <w:spacing w:after="160"/>
        <w:jc w:val="center"/>
        <w:rPr>
          <w:rFonts w:cs="Times New Roman"/>
          <w:b w:val="0"/>
        </w:rPr>
      </w:pPr>
      <w:r>
        <w:rPr>
          <w:rFonts w:cs="Times New Roman"/>
        </w:rPr>
        <w:t>Maio</w:t>
      </w:r>
      <w:r w:rsidR="00777166" w:rsidRPr="00777166">
        <w:rPr>
          <w:rFonts w:cs="Times New Roman"/>
        </w:rPr>
        <w:t xml:space="preserve"> de 2020</w:t>
      </w:r>
    </w:p>
    <w:p w14:paraId="4B7E7138" w14:textId="6D9C70AA" w:rsidR="00580FCF" w:rsidRPr="0003174E" w:rsidRDefault="00777166" w:rsidP="00695772">
      <w:pPr>
        <w:spacing w:after="160"/>
        <w:jc w:val="center"/>
        <w:rPr>
          <w:b w:val="0"/>
          <w:bCs/>
        </w:rPr>
      </w:pPr>
      <w:r w:rsidRPr="00777166">
        <w:rPr>
          <w:rFonts w:cs="Times New Roman"/>
        </w:rPr>
        <w:t>Lisboa</w:t>
      </w:r>
      <w:r w:rsidR="00CC0D3C" w:rsidRPr="007F3E13">
        <w:rPr>
          <w:b w:val="0"/>
          <w:bCs/>
          <w:noProof/>
          <w:color w:val="FFFFFF"/>
          <w:lang w:val="pt-PT" w:eastAsia="pt-PT"/>
        </w:rPr>
        <mc:AlternateContent>
          <mc:Choice Requires="wps">
            <w:drawing>
              <wp:anchor distT="0" distB="0" distL="114300" distR="114300" simplePos="0" relativeHeight="251660288" behindDoc="0" locked="0" layoutInCell="1" allowOverlap="1" wp14:anchorId="7A5AB913" wp14:editId="057B020C">
                <wp:simplePos x="0" y="0"/>
                <wp:positionH relativeFrom="column">
                  <wp:posOffset>2743200</wp:posOffset>
                </wp:positionH>
                <wp:positionV relativeFrom="paragraph">
                  <wp:posOffset>125095</wp:posOffset>
                </wp:positionV>
                <wp:extent cx="173355" cy="256540"/>
                <wp:effectExtent l="5080" t="9525" r="12065" b="10160"/>
                <wp:wrapNone/>
                <wp:docPr id="3" name="Caixa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355" cy="256540"/>
                        </a:xfrm>
                        <a:prstGeom prst="rect">
                          <a:avLst/>
                        </a:prstGeom>
                        <a:solidFill>
                          <a:srgbClr val="FFFFFF"/>
                        </a:solidFill>
                        <a:ln w="9525">
                          <a:solidFill>
                            <a:srgbClr val="FFFFFF"/>
                          </a:solidFill>
                          <a:miter lim="800000"/>
                          <a:headEnd/>
                          <a:tailEnd/>
                        </a:ln>
                      </wps:spPr>
                      <wps:txbx>
                        <w:txbxContent>
                          <w:p w14:paraId="42B6863E" w14:textId="77777777" w:rsidR="00ED6932" w:rsidRDefault="00ED6932" w:rsidP="00CC0D3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5AB913" id="_x0000_t202" coordsize="21600,21600" o:spt="202" path="m,l,21600r21600,l21600,xe">
                <v:stroke joinstyle="miter"/>
                <v:path gradientshapeok="t" o:connecttype="rect"/>
              </v:shapetype>
              <v:shape id="Caixa de Texto 3" o:spid="_x0000_s1026" type="#_x0000_t202" style="position:absolute;left:0;text-align:left;margin-left:3in;margin-top:9.85pt;width:13.65pt;height:20.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" strokecolor="white">
                <v:textbox>
                  <w:txbxContent>
                    <w:p w14:paraId="42B6863E" w14:textId="77777777" w:rsidR="00ED6932" w:rsidRDefault="00ED6932" w:rsidP="00CC0D3C"/>
                  </w:txbxContent>
                </v:textbox>
              </v:shape>
            </w:pict>
          </mc:Fallback>
        </mc:AlternateContent>
      </w:r>
      <w:r w:rsidR="00CC0D3C" w:rsidRPr="007F3E13">
        <w:rPr>
          <w:b w:val="0"/>
          <w:bCs/>
          <w:noProof/>
          <w:color w:val="FFFFFF"/>
          <w:lang w:val="pt-PT" w:eastAsia="pt-PT"/>
        </w:rPr>
        <mc:AlternateContent>
          <mc:Choice Requires="wps">
            <w:drawing>
              <wp:anchor distT="0" distB="0" distL="114300" distR="114300" simplePos="0" relativeHeight="251659264" behindDoc="0" locked="0" layoutInCell="1" allowOverlap="1" wp14:anchorId="5B0A2873" wp14:editId="2FBEB66B">
                <wp:simplePos x="0" y="0"/>
                <wp:positionH relativeFrom="column">
                  <wp:posOffset>2805430</wp:posOffset>
                </wp:positionH>
                <wp:positionV relativeFrom="paragraph">
                  <wp:posOffset>111125</wp:posOffset>
                </wp:positionV>
                <wp:extent cx="104140" cy="270510"/>
                <wp:effectExtent l="10160" t="5080" r="9525" b="10160"/>
                <wp:wrapNone/>
                <wp:docPr id="2"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140" cy="270510"/>
                        </a:xfrm>
                        <a:prstGeom prst="rect">
                          <a:avLst/>
                        </a:prstGeom>
                        <a:gradFill rotWithShape="1">
                          <a:gsLst>
                            <a:gs pos="0">
                              <a:srgbClr val="FFFFFF"/>
                            </a:gs>
                            <a:gs pos="100000">
                              <a:srgbClr val="FFFFFF">
                                <a:gamma/>
                                <a:shade val="46275"/>
                                <a:invGamma/>
                              </a:srgbClr>
                            </a:gs>
                          </a:gsLst>
                          <a:lin ang="5400000" scaled="1"/>
                        </a:gradFill>
                        <a:ln w="9525">
                          <a:solidFill>
                            <a:srgbClr val="FFFFFF"/>
                          </a:solidFill>
                          <a:miter lim="800000"/>
                          <a:headEnd/>
                          <a:tailEnd/>
                        </a:ln>
                      </wps:spPr>
                      <wps:txbx>
                        <w:txbxContent>
                          <w:p w14:paraId="5728720D" w14:textId="77777777" w:rsidR="00ED6932" w:rsidRDefault="00ED6932" w:rsidP="00CC0D3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0A2873" id="Caixa de Texto 2" o:spid="_x0000_s1027" type="#_x0000_t202" style="position:absolute;left:0;text-align:left;margin-left:220.9pt;margin-top:8.75pt;width:8.2pt;height:21.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" strokecolor="white">
                <v:fill color2="#767676" rotate="t" focus="100%" type="gradient"/>
                <v:textbox>
                  <w:txbxContent>
                    <w:p w14:paraId="5728720D" w14:textId="77777777" w:rsidR="00ED6932" w:rsidRDefault="00ED6932" w:rsidP="00CC0D3C"/>
                  </w:txbxContent>
                </v:textbox>
              </v:shape>
            </w:pict>
          </mc:Fallback>
        </mc:AlternateContent>
      </w:r>
      <w:r w:rsidR="00CC0D3C">
        <w:rPr>
          <w:b w:val="0"/>
          <w:bCs/>
        </w:rPr>
        <w:br w:type="page"/>
      </w:r>
    </w:p>
    <w:p w14:paraId="4CCA4F3A" w14:textId="77777777" w:rsidR="00130256" w:rsidRPr="009D22E8" w:rsidRDefault="00130256" w:rsidP="009D22E8">
      <w:pPr>
        <w:autoSpaceDE w:val="0"/>
        <w:autoSpaceDN w:val="0"/>
        <w:adjustRightInd w:val="0"/>
        <w:jc w:val="center"/>
        <w:rPr>
          <w:rFonts w:cs="Times New Roman"/>
        </w:rPr>
      </w:pPr>
      <w:r w:rsidRPr="009D22E8">
        <w:rPr>
          <w:rFonts w:cs="Times New Roman"/>
        </w:rPr>
        <w:lastRenderedPageBreak/>
        <w:t>AGRADECIMENTOS</w:t>
      </w:r>
    </w:p>
    <w:p w14:paraId="084E54C4" w14:textId="77777777" w:rsidR="00130256" w:rsidRPr="00130256" w:rsidRDefault="00130256" w:rsidP="00130256">
      <w:pPr>
        <w:autoSpaceDE w:val="0"/>
        <w:autoSpaceDN w:val="0"/>
        <w:adjustRightInd w:val="0"/>
        <w:rPr>
          <w:rFonts w:cs="Times New Roman"/>
          <w:b w:val="0"/>
          <w:bCs/>
        </w:rPr>
      </w:pPr>
    </w:p>
    <w:p w14:paraId="40169DDF" w14:textId="77777777" w:rsidR="00130256" w:rsidRPr="00130256" w:rsidRDefault="00130256" w:rsidP="009D22E8">
      <w:pPr>
        <w:rPr>
          <w:rFonts w:cs="Times New Roman"/>
          <w:b w:val="0"/>
          <w:bCs/>
        </w:rPr>
      </w:pPr>
      <w:r w:rsidRPr="00130256">
        <w:rPr>
          <w:rFonts w:cs="Times New Roman"/>
          <w:b w:val="0"/>
          <w:bCs/>
        </w:rPr>
        <w:t xml:space="preserve">Agradeço à Deus, pela oportunidade em superar </w:t>
      </w:r>
      <w:r w:rsidR="00662E49">
        <w:rPr>
          <w:rFonts w:cs="Times New Roman"/>
          <w:b w:val="0"/>
          <w:bCs/>
        </w:rPr>
        <w:t xml:space="preserve">esse </w:t>
      </w:r>
      <w:r w:rsidRPr="00130256">
        <w:rPr>
          <w:rFonts w:cs="Times New Roman"/>
          <w:b w:val="0"/>
          <w:bCs/>
        </w:rPr>
        <w:t>desafio, sempre me dando forças nos momentos mais difíceis, permitindo a realização de mais um</w:t>
      </w:r>
      <w:r w:rsidR="009D22E8">
        <w:rPr>
          <w:rFonts w:cs="Times New Roman"/>
          <w:b w:val="0"/>
          <w:bCs/>
        </w:rPr>
        <w:t xml:space="preserve"> sonho</w:t>
      </w:r>
      <w:r w:rsidRPr="00130256">
        <w:rPr>
          <w:rFonts w:cs="Times New Roman"/>
          <w:b w:val="0"/>
          <w:bCs/>
        </w:rPr>
        <w:t>.</w:t>
      </w:r>
    </w:p>
    <w:p w14:paraId="3EB35678" w14:textId="77777777" w:rsidR="00130256" w:rsidRPr="00130256" w:rsidRDefault="00130256" w:rsidP="009D22E8">
      <w:pPr>
        <w:rPr>
          <w:rFonts w:cs="Times New Roman"/>
          <w:b w:val="0"/>
          <w:bCs/>
        </w:rPr>
      </w:pPr>
      <w:r w:rsidRPr="00130256">
        <w:rPr>
          <w:rFonts w:cs="Times New Roman"/>
          <w:b w:val="0"/>
          <w:bCs/>
        </w:rPr>
        <w:t>À toda minha família, pelo suporte e incentivo, principalmente aos meus pais e irmãs, Masamori, Kazuko</w:t>
      </w:r>
      <w:r w:rsidRPr="00130256">
        <w:rPr>
          <w:rFonts w:cs="Times New Roman"/>
          <w:b w:val="0"/>
          <w:bCs/>
          <w:i/>
        </w:rPr>
        <w:t>,</w:t>
      </w:r>
      <w:r w:rsidRPr="00130256">
        <w:rPr>
          <w:rFonts w:cs="Times New Roman"/>
          <w:b w:val="0"/>
          <w:bCs/>
        </w:rPr>
        <w:t xml:space="preserve"> Naomi e Hiromi,</w:t>
      </w:r>
      <w:r w:rsidRPr="00130256">
        <w:rPr>
          <w:rFonts w:cs="Times New Roman"/>
          <w:b w:val="0"/>
          <w:bCs/>
          <w:i/>
        </w:rPr>
        <w:t xml:space="preserve"> </w:t>
      </w:r>
      <w:r w:rsidRPr="00130256">
        <w:rPr>
          <w:rFonts w:cs="Times New Roman"/>
          <w:b w:val="0"/>
          <w:bCs/>
        </w:rPr>
        <w:t xml:space="preserve">que sempre me ensinaram que o estudo deve ser a prioridade em nossas vidas. À minha prima Miyuki, pela generosidade em me acolher, e por sempre me engrandecer com seus ensinamentos.  </w:t>
      </w:r>
    </w:p>
    <w:p w14:paraId="01090700" w14:textId="77777777" w:rsidR="00130256" w:rsidRPr="00130256" w:rsidRDefault="00130256" w:rsidP="009D22E8">
      <w:pPr>
        <w:rPr>
          <w:rFonts w:cs="Times New Roman"/>
          <w:b w:val="0"/>
          <w:bCs/>
        </w:rPr>
      </w:pPr>
      <w:r w:rsidRPr="00130256">
        <w:rPr>
          <w:rFonts w:cs="Times New Roman"/>
          <w:b w:val="0"/>
          <w:bCs/>
        </w:rPr>
        <w:t xml:space="preserve">Aos meus amigos e companheiros Talita, </w:t>
      </w:r>
      <w:r w:rsidR="00092189">
        <w:rPr>
          <w:rFonts w:cs="Times New Roman"/>
          <w:b w:val="0"/>
          <w:bCs/>
        </w:rPr>
        <w:t xml:space="preserve">Caio, </w:t>
      </w:r>
      <w:r w:rsidRPr="00130256">
        <w:rPr>
          <w:rFonts w:cs="Times New Roman"/>
          <w:b w:val="0"/>
          <w:bCs/>
        </w:rPr>
        <w:t xml:space="preserve">Nathália, </w:t>
      </w:r>
      <w:r w:rsidR="00662E49">
        <w:rPr>
          <w:rFonts w:cs="Times New Roman"/>
          <w:b w:val="0"/>
          <w:bCs/>
        </w:rPr>
        <w:t xml:space="preserve">e </w:t>
      </w:r>
      <w:r w:rsidRPr="00130256">
        <w:rPr>
          <w:rFonts w:cs="Times New Roman"/>
          <w:b w:val="0"/>
          <w:bCs/>
        </w:rPr>
        <w:t xml:space="preserve">Taysa, que puderam compreender que os momentos de ausência não significam término da amizade, mas ao contrário disso, o seu fortalecimento. </w:t>
      </w:r>
    </w:p>
    <w:p w14:paraId="525E3077" w14:textId="77777777" w:rsidR="00130256" w:rsidRPr="00130256" w:rsidRDefault="00130256" w:rsidP="009D22E8">
      <w:pPr>
        <w:rPr>
          <w:rFonts w:cs="Times New Roman"/>
          <w:b w:val="0"/>
          <w:bCs/>
          <w:color w:val="000000" w:themeColor="text1"/>
        </w:rPr>
      </w:pPr>
      <w:r w:rsidRPr="00130256">
        <w:rPr>
          <w:rFonts w:cs="Times New Roman"/>
          <w:b w:val="0"/>
          <w:bCs/>
        </w:rPr>
        <w:t xml:space="preserve">Ao meu orientador </w:t>
      </w:r>
      <w:r w:rsidRPr="00130256">
        <w:rPr>
          <w:rFonts w:cs="Times New Roman"/>
          <w:b w:val="0"/>
          <w:bCs/>
          <w:color w:val="000000" w:themeColor="text1"/>
        </w:rPr>
        <w:t>Professor Dr. Alex</w:t>
      </w:r>
      <w:r w:rsidR="00F31AD9">
        <w:rPr>
          <w:rFonts w:cs="Times New Roman"/>
          <w:b w:val="0"/>
          <w:bCs/>
          <w:color w:val="000000" w:themeColor="text1"/>
        </w:rPr>
        <w:t xml:space="preserve"> Sander Xavier Pires</w:t>
      </w:r>
      <w:r w:rsidRPr="00130256">
        <w:rPr>
          <w:rFonts w:cs="Times New Roman"/>
          <w:b w:val="0"/>
          <w:bCs/>
          <w:color w:val="000000" w:themeColor="text1"/>
        </w:rPr>
        <w:t>, pela simplicidade, carisma, e atenção a todas as minhas solicitações de forma prestativa, colaborando de forma imensurável para realização deste trabalho.</w:t>
      </w:r>
    </w:p>
    <w:p w14:paraId="0276182E" w14:textId="77777777" w:rsidR="00130256" w:rsidRPr="00130256" w:rsidRDefault="00130256" w:rsidP="009D22E8">
      <w:pPr>
        <w:rPr>
          <w:rFonts w:cs="Times New Roman"/>
          <w:b w:val="0"/>
          <w:bCs/>
          <w:color w:val="000000" w:themeColor="text1"/>
        </w:rPr>
      </w:pPr>
      <w:r w:rsidRPr="00130256">
        <w:rPr>
          <w:rFonts w:cs="Times New Roman"/>
          <w:b w:val="0"/>
          <w:bCs/>
          <w:color w:val="000000" w:themeColor="text1"/>
        </w:rPr>
        <w:t>À Ana Karine de Oliveira, minha Substituta no Registro Civil e Tabelionato de Sete Barras, p</w:t>
      </w:r>
      <w:r w:rsidR="005248F0">
        <w:rPr>
          <w:rFonts w:cs="Times New Roman"/>
          <w:b w:val="0"/>
          <w:bCs/>
          <w:color w:val="000000" w:themeColor="text1"/>
        </w:rPr>
        <w:t>or todo seu suporte e apoio</w:t>
      </w:r>
      <w:r w:rsidRPr="00130256">
        <w:rPr>
          <w:rFonts w:cs="Times New Roman"/>
          <w:b w:val="0"/>
          <w:bCs/>
          <w:color w:val="000000" w:themeColor="text1"/>
        </w:rPr>
        <w:t xml:space="preserve">. </w:t>
      </w:r>
    </w:p>
    <w:p w14:paraId="078A5E94" w14:textId="77777777" w:rsidR="00130256" w:rsidRPr="00130256" w:rsidRDefault="00130256" w:rsidP="009D22E8">
      <w:pPr>
        <w:rPr>
          <w:rFonts w:cs="Times New Roman"/>
          <w:b w:val="0"/>
          <w:bCs/>
        </w:rPr>
      </w:pPr>
      <w:r w:rsidRPr="00130256">
        <w:rPr>
          <w:rFonts w:cs="Times New Roman"/>
          <w:b w:val="0"/>
          <w:bCs/>
          <w:color w:val="000000" w:themeColor="text1"/>
        </w:rPr>
        <w:t xml:space="preserve">A todos os professores do Programa de Mestrado em Direito da </w:t>
      </w:r>
      <w:r w:rsidRPr="00130256">
        <w:rPr>
          <w:rFonts w:cs="Times New Roman"/>
          <w:b w:val="0"/>
          <w:bCs/>
        </w:rPr>
        <w:t xml:space="preserve">Universidade </w:t>
      </w:r>
      <w:r w:rsidR="005248F0">
        <w:rPr>
          <w:rFonts w:cs="Times New Roman"/>
          <w:b w:val="0"/>
          <w:bCs/>
        </w:rPr>
        <w:t>Autónoma de Lisboa</w:t>
      </w:r>
      <w:r w:rsidRPr="00130256">
        <w:rPr>
          <w:rFonts w:cs="Times New Roman"/>
          <w:b w:val="0"/>
          <w:bCs/>
          <w:noProof/>
        </w:rPr>
        <w:t>.</w:t>
      </w:r>
    </w:p>
    <w:p w14:paraId="625AFA48" w14:textId="77777777" w:rsidR="00130256" w:rsidRPr="00130256" w:rsidRDefault="00130256" w:rsidP="009D22E8">
      <w:pPr>
        <w:rPr>
          <w:rFonts w:cs="Times New Roman"/>
          <w:b w:val="0"/>
          <w:bCs/>
        </w:rPr>
      </w:pPr>
      <w:r w:rsidRPr="00130256">
        <w:rPr>
          <w:rFonts w:cs="Times New Roman"/>
          <w:b w:val="0"/>
          <w:bCs/>
        </w:rPr>
        <w:t>Aos amigos da turma do Programa de</w:t>
      </w:r>
      <w:r w:rsidR="00D2452D">
        <w:rPr>
          <w:rFonts w:cs="Times New Roman"/>
          <w:b w:val="0"/>
          <w:bCs/>
        </w:rPr>
        <w:t xml:space="preserve"> Mestrado</w:t>
      </w:r>
      <w:r w:rsidRPr="00130256">
        <w:rPr>
          <w:rFonts w:cs="Times New Roman"/>
          <w:b w:val="0"/>
          <w:bCs/>
        </w:rPr>
        <w:t xml:space="preserve"> em Direito da Universidade </w:t>
      </w:r>
      <w:r w:rsidR="00D2452D">
        <w:rPr>
          <w:rFonts w:cs="Times New Roman"/>
          <w:b w:val="0"/>
          <w:bCs/>
        </w:rPr>
        <w:t>Autónoma de Lisboa</w:t>
      </w:r>
      <w:r w:rsidRPr="00130256">
        <w:rPr>
          <w:rFonts w:cs="Times New Roman"/>
          <w:b w:val="0"/>
          <w:bCs/>
        </w:rPr>
        <w:t>, pelos momentos de união, ajuda e compreensão, em especial ao</w:t>
      </w:r>
      <w:r w:rsidR="00D2452D">
        <w:rPr>
          <w:rFonts w:cs="Times New Roman"/>
          <w:b w:val="0"/>
          <w:bCs/>
        </w:rPr>
        <w:t>s</w:t>
      </w:r>
      <w:r w:rsidRPr="00130256">
        <w:rPr>
          <w:rFonts w:cs="Times New Roman"/>
          <w:b w:val="0"/>
          <w:bCs/>
        </w:rPr>
        <w:t xml:space="preserve"> meu</w:t>
      </w:r>
      <w:r w:rsidR="00D2452D">
        <w:rPr>
          <w:rFonts w:cs="Times New Roman"/>
          <w:b w:val="0"/>
          <w:bCs/>
        </w:rPr>
        <w:t>s</w:t>
      </w:r>
      <w:r w:rsidRPr="00130256">
        <w:rPr>
          <w:rFonts w:cs="Times New Roman"/>
          <w:b w:val="0"/>
          <w:bCs/>
        </w:rPr>
        <w:t xml:space="preserve"> querido</w:t>
      </w:r>
      <w:r w:rsidR="00D2452D">
        <w:rPr>
          <w:rFonts w:cs="Times New Roman"/>
          <w:b w:val="0"/>
          <w:bCs/>
        </w:rPr>
        <w:t>s</w:t>
      </w:r>
      <w:r w:rsidRPr="00130256">
        <w:rPr>
          <w:rFonts w:cs="Times New Roman"/>
          <w:b w:val="0"/>
          <w:bCs/>
        </w:rPr>
        <w:t xml:space="preserve"> parceiro</w:t>
      </w:r>
      <w:r w:rsidR="00D2452D">
        <w:rPr>
          <w:rFonts w:cs="Times New Roman"/>
          <w:b w:val="0"/>
          <w:bCs/>
        </w:rPr>
        <w:t>s</w:t>
      </w:r>
      <w:r w:rsidRPr="00130256">
        <w:rPr>
          <w:rFonts w:cs="Times New Roman"/>
          <w:b w:val="0"/>
          <w:bCs/>
        </w:rPr>
        <w:t xml:space="preserve"> de todas as horas </w:t>
      </w:r>
      <w:r w:rsidR="00D2452D">
        <w:rPr>
          <w:rFonts w:cs="Times New Roman"/>
          <w:b w:val="0"/>
          <w:bCs/>
        </w:rPr>
        <w:t>Ubirat</w:t>
      </w:r>
      <w:r w:rsidR="00092189">
        <w:rPr>
          <w:rFonts w:cs="Times New Roman"/>
          <w:b w:val="0"/>
          <w:bCs/>
        </w:rPr>
        <w:t>ã</w:t>
      </w:r>
      <w:r w:rsidR="00D2452D">
        <w:rPr>
          <w:rFonts w:cs="Times New Roman"/>
          <w:b w:val="0"/>
          <w:bCs/>
        </w:rPr>
        <w:t>, Renata</w:t>
      </w:r>
      <w:r w:rsidR="00035587">
        <w:rPr>
          <w:rFonts w:cs="Times New Roman"/>
          <w:b w:val="0"/>
          <w:bCs/>
        </w:rPr>
        <w:t>,</w:t>
      </w:r>
      <w:r w:rsidR="00D2452D">
        <w:rPr>
          <w:rFonts w:cs="Times New Roman"/>
          <w:b w:val="0"/>
          <w:bCs/>
        </w:rPr>
        <w:t xml:space="preserve"> Daniela</w:t>
      </w:r>
      <w:r w:rsidR="00035587">
        <w:rPr>
          <w:rFonts w:cs="Times New Roman"/>
          <w:b w:val="0"/>
          <w:bCs/>
        </w:rPr>
        <w:t xml:space="preserve"> e Tatiana</w:t>
      </w:r>
      <w:r w:rsidRPr="00130256">
        <w:rPr>
          <w:rFonts w:cs="Times New Roman"/>
          <w:b w:val="0"/>
          <w:bCs/>
          <w:i/>
        </w:rPr>
        <w:t xml:space="preserve">, </w:t>
      </w:r>
      <w:r w:rsidRPr="00130256">
        <w:rPr>
          <w:rFonts w:cs="Times New Roman"/>
          <w:b w:val="0"/>
          <w:bCs/>
        </w:rPr>
        <w:t>que sempre me auxili</w:t>
      </w:r>
      <w:r w:rsidR="00D2452D">
        <w:rPr>
          <w:rFonts w:cs="Times New Roman"/>
          <w:b w:val="0"/>
          <w:bCs/>
        </w:rPr>
        <w:t>aram</w:t>
      </w:r>
      <w:r w:rsidRPr="00130256">
        <w:rPr>
          <w:rFonts w:cs="Times New Roman"/>
          <w:b w:val="0"/>
          <w:bCs/>
        </w:rPr>
        <w:t xml:space="preserve"> em meus questionamentos.</w:t>
      </w:r>
    </w:p>
    <w:p w14:paraId="57407490" w14:textId="77777777" w:rsidR="00130256" w:rsidRDefault="00130256" w:rsidP="009D22E8">
      <w:pPr>
        <w:rPr>
          <w:rFonts w:cs="Times New Roman"/>
          <w:b w:val="0"/>
          <w:bCs/>
        </w:rPr>
      </w:pPr>
      <w:r w:rsidRPr="00130256">
        <w:rPr>
          <w:rFonts w:cs="Times New Roman"/>
          <w:b w:val="0"/>
          <w:bCs/>
        </w:rPr>
        <w:t xml:space="preserve">À minha querida amiga Thaís Cristina Cardoso Batista, pelo grande </w:t>
      </w:r>
      <w:r w:rsidR="005248F0">
        <w:rPr>
          <w:rFonts w:cs="Times New Roman"/>
          <w:b w:val="0"/>
          <w:bCs/>
        </w:rPr>
        <w:t>companheirismo no desenvolvimento deste trabalho</w:t>
      </w:r>
      <w:r w:rsidRPr="00130256">
        <w:rPr>
          <w:rFonts w:cs="Times New Roman"/>
          <w:b w:val="0"/>
          <w:bCs/>
        </w:rPr>
        <w:t xml:space="preserve">, </w:t>
      </w:r>
      <w:r w:rsidR="005248F0">
        <w:rPr>
          <w:rFonts w:cs="Times New Roman"/>
          <w:b w:val="0"/>
          <w:bCs/>
        </w:rPr>
        <w:t>ao realizar</w:t>
      </w:r>
      <w:r w:rsidRPr="00130256">
        <w:rPr>
          <w:rFonts w:cs="Times New Roman"/>
          <w:b w:val="0"/>
          <w:bCs/>
        </w:rPr>
        <w:t xml:space="preserve"> críticas e observações </w:t>
      </w:r>
      <w:r w:rsidR="005248F0">
        <w:rPr>
          <w:rFonts w:cs="Times New Roman"/>
          <w:b w:val="0"/>
          <w:bCs/>
        </w:rPr>
        <w:t>relativas a</w:t>
      </w:r>
      <w:r w:rsidRPr="00130256">
        <w:rPr>
          <w:rFonts w:cs="Times New Roman"/>
          <w:b w:val="0"/>
          <w:bCs/>
        </w:rPr>
        <w:t>o texto.</w:t>
      </w:r>
    </w:p>
    <w:p w14:paraId="5EC48FC1" w14:textId="77777777" w:rsidR="00662E49" w:rsidRDefault="00662E49" w:rsidP="009D22E8">
      <w:pPr>
        <w:rPr>
          <w:rFonts w:cs="Times New Roman"/>
          <w:b w:val="0"/>
          <w:bCs/>
        </w:rPr>
      </w:pPr>
    </w:p>
    <w:p w14:paraId="35CBB7FB" w14:textId="77777777" w:rsidR="00662E49" w:rsidRDefault="00662E49" w:rsidP="009D22E8">
      <w:pPr>
        <w:rPr>
          <w:rFonts w:cs="Times New Roman"/>
          <w:b w:val="0"/>
          <w:bCs/>
        </w:rPr>
      </w:pPr>
    </w:p>
    <w:p w14:paraId="635DDBFE" w14:textId="77777777" w:rsidR="00662E49" w:rsidRDefault="00662E49" w:rsidP="009D22E8">
      <w:pPr>
        <w:rPr>
          <w:rFonts w:cs="Times New Roman"/>
          <w:b w:val="0"/>
          <w:bCs/>
        </w:rPr>
      </w:pPr>
    </w:p>
    <w:p w14:paraId="22CD87E0" w14:textId="77777777" w:rsidR="00662E49" w:rsidRDefault="00662E49" w:rsidP="009D22E8">
      <w:pPr>
        <w:rPr>
          <w:rFonts w:cs="Times New Roman"/>
          <w:b w:val="0"/>
          <w:bCs/>
        </w:rPr>
      </w:pPr>
    </w:p>
    <w:p w14:paraId="41E265BB" w14:textId="77777777" w:rsidR="00662E49" w:rsidRDefault="00662E49" w:rsidP="009D22E8">
      <w:pPr>
        <w:rPr>
          <w:rFonts w:cs="Times New Roman"/>
          <w:b w:val="0"/>
          <w:bCs/>
        </w:rPr>
      </w:pPr>
    </w:p>
    <w:p w14:paraId="25658A1B" w14:textId="77777777" w:rsidR="00E66835" w:rsidRDefault="00E66835">
      <w:pPr>
        <w:rPr>
          <w:rFonts w:cs="Times New Roman"/>
          <w:b w:val="0"/>
          <w:bCs/>
        </w:rPr>
      </w:pPr>
      <w:r>
        <w:rPr>
          <w:rFonts w:cs="Times New Roman"/>
          <w:b w:val="0"/>
          <w:bCs/>
        </w:rPr>
        <w:br w:type="page"/>
      </w:r>
    </w:p>
    <w:p w14:paraId="3E6EAD48" w14:textId="77777777" w:rsidR="007C3484" w:rsidRPr="00662E49" w:rsidRDefault="007C3484" w:rsidP="007C3484">
      <w:pPr>
        <w:autoSpaceDE w:val="0"/>
        <w:autoSpaceDN w:val="0"/>
        <w:adjustRightInd w:val="0"/>
        <w:spacing w:after="240"/>
        <w:jc w:val="center"/>
        <w:rPr>
          <w:rFonts w:cs="Times New Roman"/>
          <w:b w:val="0"/>
        </w:rPr>
      </w:pPr>
      <w:r w:rsidRPr="00662E49">
        <w:rPr>
          <w:rFonts w:cs="Times New Roman"/>
        </w:rPr>
        <w:t>RESUMO</w:t>
      </w:r>
    </w:p>
    <w:p w14:paraId="36FA8A42" w14:textId="77777777" w:rsidR="007C3484" w:rsidRPr="006E69A4" w:rsidRDefault="007C3484" w:rsidP="007C3484">
      <w:pPr>
        <w:shd w:val="clear" w:color="auto" w:fill="FFFFFF"/>
        <w:ind w:firstLine="0"/>
        <w:rPr>
          <w:b w:val="0"/>
          <w:bCs/>
        </w:rPr>
      </w:pPr>
      <w:bookmarkStart w:id="0" w:name="_Hlk498606919"/>
      <w:r w:rsidRPr="006E69A4">
        <w:rPr>
          <w:b w:val="0"/>
          <w:bCs/>
        </w:rPr>
        <w:t xml:space="preserve">O objeto do presente estudo é </w:t>
      </w:r>
      <w:r>
        <w:rPr>
          <w:b w:val="0"/>
          <w:bCs/>
        </w:rPr>
        <w:t>o reconhecimento socioafetivo de filho dentro dos Ordenamentos jurídicos brasileiro e português</w:t>
      </w:r>
      <w:r w:rsidRPr="006E69A4">
        <w:rPr>
          <w:b w:val="0"/>
          <w:bCs/>
        </w:rPr>
        <w:t>. O estudo d</w:t>
      </w:r>
      <w:r>
        <w:rPr>
          <w:b w:val="0"/>
          <w:bCs/>
        </w:rPr>
        <w:t>o reconhecimento socioafetivo de filho</w:t>
      </w:r>
      <w:r w:rsidRPr="006E69A4">
        <w:rPr>
          <w:b w:val="0"/>
          <w:bCs/>
        </w:rPr>
        <w:t xml:space="preserve"> ganha maior relevância após a</w:t>
      </w:r>
      <w:r>
        <w:rPr>
          <w:b w:val="0"/>
          <w:bCs/>
        </w:rPr>
        <w:t>s</w:t>
      </w:r>
      <w:r w:rsidRPr="006E69A4">
        <w:rPr>
          <w:b w:val="0"/>
          <w:bCs/>
        </w:rPr>
        <w:t xml:space="preserve"> </w:t>
      </w:r>
      <w:r>
        <w:rPr>
          <w:b w:val="0"/>
          <w:bCs/>
        </w:rPr>
        <w:t>mudanças socioculturais, bem como nas legislações de Direito de Família nesses dois países, o que traz novos modelos familiares</w:t>
      </w:r>
      <w:r w:rsidRPr="006E69A4">
        <w:rPr>
          <w:b w:val="0"/>
          <w:bCs/>
        </w:rPr>
        <w:t xml:space="preserve">. Nesses termos, estudaremos </w:t>
      </w:r>
      <w:r>
        <w:rPr>
          <w:b w:val="0"/>
          <w:bCs/>
        </w:rPr>
        <w:t xml:space="preserve">como o reconhecimento socioafetivo de filho é tratado tanto no Brasil quanto em Portugal, possibilitando a maior compreensão de como é estabelecido esse tipo de filiação nesses dois sistemas. Foi realizado um estudo comparado dessa modalidade de reconhecimento de filho como uma nova forma de constituição de família. Assim, tem-se o intuito de se compreender como é o procedimento dessa forma de reconhecimento de filho. </w:t>
      </w:r>
      <w:r w:rsidRPr="006E69A4">
        <w:rPr>
          <w:b w:val="0"/>
          <w:bCs/>
        </w:rPr>
        <w:t xml:space="preserve">O trabalho está dividido em três capítulos. O primeiro capítulo abordará </w:t>
      </w:r>
      <w:r>
        <w:rPr>
          <w:b w:val="0"/>
          <w:bCs/>
        </w:rPr>
        <w:t>o estado de filiação como um direito fundamental, e os princípios que o amparam. Dentro desse capítulo foi feito um estudo do Constitucionalismo, a fim de que se pudesse compreender o estado de filiação como um direito fundamental do ser humano.</w:t>
      </w:r>
      <w:bookmarkEnd w:id="0"/>
      <w:r w:rsidRPr="006E69A4">
        <w:rPr>
          <w:b w:val="0"/>
          <w:bCs/>
        </w:rPr>
        <w:t xml:space="preserve"> O segundo capítulo tratará </w:t>
      </w:r>
      <w:r>
        <w:rPr>
          <w:b w:val="0"/>
          <w:bCs/>
        </w:rPr>
        <w:t>mais especificamente da</w:t>
      </w:r>
      <w:r w:rsidRPr="006E69A4">
        <w:rPr>
          <w:b w:val="0"/>
          <w:bCs/>
        </w:rPr>
        <w:t xml:space="preserve"> </w:t>
      </w:r>
      <w:r>
        <w:rPr>
          <w:b w:val="0"/>
          <w:bCs/>
        </w:rPr>
        <w:t xml:space="preserve">filiação. Foi abordado o conceito de filiação, bem como suas modalidades existentes atualmente que abrangem tanto a filiação biológica, jurídica, socioafetiva e a decorrente de procriação medicamente assistida. </w:t>
      </w:r>
      <w:r w:rsidRPr="006E69A4">
        <w:rPr>
          <w:b w:val="0"/>
          <w:bCs/>
        </w:rPr>
        <w:t xml:space="preserve">E o terceiro capítulo </w:t>
      </w:r>
      <w:r>
        <w:rPr>
          <w:b w:val="0"/>
          <w:bCs/>
        </w:rPr>
        <w:t>adentrará no procedimento de reconhecimento de filho, e seus contornos nas legislações brasileira e portuguesa. Inicialmente foi feita uma abordagem das formas de estabelecimento da paternidade de uma forma ampla, em que o reconhecimento de filho se insere em uma dessas formas. Será tratado especificamente sobre o reconhecimento de filho quando há apenas um vínculo socioafetivo entre pai e filho. No Brasil, já houve várias mudanças legislativas que facilitaram esse procedimento. Já em Portugal, ainda não há uma legislação específica autorizando esse tipo de reconhecimento. No entanto, verifica-se que a mudança sociocultural pelo que passou a sociedade fez nascer esse anseio, o que pode ser verificado com a Petição n</w:t>
      </w:r>
      <w:r>
        <w:rPr>
          <w:rFonts w:cs="Times New Roman"/>
          <w:b w:val="0"/>
          <w:bCs/>
        </w:rPr>
        <w:t>°</w:t>
      </w:r>
      <w:r>
        <w:rPr>
          <w:b w:val="0"/>
          <w:bCs/>
        </w:rPr>
        <w:t xml:space="preserve"> 451/XIII/3</w:t>
      </w:r>
      <w:r>
        <w:rPr>
          <w:rFonts w:cs="Times New Roman"/>
          <w:b w:val="0"/>
          <w:bCs/>
        </w:rPr>
        <w:t>ª, que foi analisada no último capítulo.</w:t>
      </w:r>
      <w:r w:rsidRPr="006E69A4">
        <w:rPr>
          <w:b w:val="0"/>
          <w:bCs/>
        </w:rPr>
        <w:t xml:space="preserve"> Justifica-se o presente trabalho pelo fato d</w:t>
      </w:r>
      <w:r>
        <w:rPr>
          <w:b w:val="0"/>
          <w:bCs/>
        </w:rPr>
        <w:t xml:space="preserve">e que a legalização do reconhecimento socioafetivo de filho </w:t>
      </w:r>
      <w:r w:rsidRPr="006E69A4">
        <w:rPr>
          <w:b w:val="0"/>
          <w:bCs/>
        </w:rPr>
        <w:t>configura-se como uma importante ferramenta de constituição d</w:t>
      </w:r>
      <w:r>
        <w:rPr>
          <w:b w:val="0"/>
          <w:bCs/>
        </w:rPr>
        <w:t>a família</w:t>
      </w:r>
      <w:r w:rsidRPr="006E69A4">
        <w:rPr>
          <w:b w:val="0"/>
          <w:bCs/>
        </w:rPr>
        <w:t>. O presente trabalho serviu-se de pesquisa bibliográfica e documental, utilizando-se do método dedutivo.</w:t>
      </w:r>
    </w:p>
    <w:p w14:paraId="4496DD6B" w14:textId="77777777" w:rsidR="007C3484" w:rsidRDefault="007C3484" w:rsidP="007C3484">
      <w:pPr>
        <w:ind w:firstLine="0"/>
        <w:rPr>
          <w:rFonts w:cs="Times New Roman"/>
        </w:rPr>
      </w:pPr>
    </w:p>
    <w:p w14:paraId="437F097E" w14:textId="6AB92ABC" w:rsidR="00662E49" w:rsidRPr="00662E49" w:rsidRDefault="007C3484" w:rsidP="007C3484">
      <w:pPr>
        <w:ind w:firstLine="0"/>
        <w:rPr>
          <w:rFonts w:cs="Times New Roman"/>
          <w:b w:val="0"/>
        </w:rPr>
      </w:pPr>
      <w:r w:rsidRPr="00662E49">
        <w:rPr>
          <w:rFonts w:cs="Times New Roman"/>
        </w:rPr>
        <w:t xml:space="preserve">PALAVRAS-CHAVE: </w:t>
      </w:r>
      <w:r w:rsidRPr="00B527FB">
        <w:rPr>
          <w:rFonts w:cs="Times New Roman"/>
          <w:b w:val="0"/>
          <w:bCs/>
        </w:rPr>
        <w:t>socioafetividade</w:t>
      </w:r>
      <w:r>
        <w:rPr>
          <w:rFonts w:cs="Times New Roman"/>
          <w:b w:val="0"/>
          <w:bCs/>
        </w:rPr>
        <w:t>;</w:t>
      </w:r>
      <w:r w:rsidRPr="00B527FB">
        <w:rPr>
          <w:rFonts w:cs="Times New Roman"/>
          <w:b w:val="0"/>
          <w:bCs/>
        </w:rPr>
        <w:t xml:space="preserve"> </w:t>
      </w:r>
      <w:r>
        <w:rPr>
          <w:rFonts w:cs="Times New Roman"/>
          <w:b w:val="0"/>
          <w:bCs/>
        </w:rPr>
        <w:t xml:space="preserve">reconhecimento; </w:t>
      </w:r>
      <w:r w:rsidRPr="00B527FB">
        <w:rPr>
          <w:rFonts w:cs="Times New Roman"/>
          <w:b w:val="0"/>
          <w:bCs/>
        </w:rPr>
        <w:t>paternidade</w:t>
      </w:r>
      <w:r>
        <w:rPr>
          <w:rFonts w:cs="Times New Roman"/>
          <w:b w:val="0"/>
          <w:bCs/>
        </w:rPr>
        <w:t>; família.</w:t>
      </w:r>
    </w:p>
    <w:p w14:paraId="7B9BFCF0" w14:textId="77777777" w:rsidR="00662E49" w:rsidRPr="00662E49" w:rsidRDefault="00662E49" w:rsidP="00662E49">
      <w:pPr>
        <w:jc w:val="center"/>
        <w:rPr>
          <w:rFonts w:cs="Times New Roman"/>
          <w:b w:val="0"/>
        </w:rPr>
      </w:pPr>
    </w:p>
    <w:p w14:paraId="2A437F0C" w14:textId="77777777" w:rsidR="00662E49" w:rsidRPr="00662E49" w:rsidRDefault="00662E49" w:rsidP="00662E49">
      <w:pPr>
        <w:jc w:val="center"/>
        <w:rPr>
          <w:rFonts w:cs="Times New Roman"/>
          <w:b w:val="0"/>
        </w:rPr>
      </w:pPr>
    </w:p>
    <w:p w14:paraId="7A6DAC93" w14:textId="77777777" w:rsidR="00662E49" w:rsidRPr="00662E49" w:rsidRDefault="00662E49" w:rsidP="00662E49">
      <w:pPr>
        <w:spacing w:line="240" w:lineRule="auto"/>
        <w:rPr>
          <w:rFonts w:cs="Times New Roman"/>
          <w:b w:val="0"/>
        </w:rPr>
      </w:pPr>
      <w:r w:rsidRPr="00662E49">
        <w:rPr>
          <w:rFonts w:cs="Times New Roman"/>
        </w:rPr>
        <w:br w:type="page"/>
      </w:r>
    </w:p>
    <w:p w14:paraId="4F87C6EB" w14:textId="77777777" w:rsidR="007C3484" w:rsidRDefault="007C3484" w:rsidP="007C3484">
      <w:pPr>
        <w:spacing w:after="240"/>
        <w:jc w:val="center"/>
        <w:rPr>
          <w:rFonts w:cs="Times New Roman"/>
          <w:lang w:val="en-US"/>
        </w:rPr>
      </w:pPr>
      <w:r w:rsidRPr="00662E49">
        <w:rPr>
          <w:rFonts w:cs="Times New Roman"/>
          <w:lang w:val="en-US"/>
        </w:rPr>
        <w:t>ABSTRACT</w:t>
      </w:r>
    </w:p>
    <w:p w14:paraId="26E7091A" w14:textId="77777777" w:rsidR="007C3484" w:rsidRPr="00662E49" w:rsidRDefault="007C3484" w:rsidP="007C3484">
      <w:pPr>
        <w:ind w:firstLine="0"/>
        <w:rPr>
          <w:rFonts w:cs="Times New Roman"/>
          <w:b w:val="0"/>
          <w:lang w:val="en-US"/>
        </w:rPr>
      </w:pPr>
      <w:r w:rsidRPr="00F932EA">
        <w:rPr>
          <w:rFonts w:cs="Times New Roman"/>
          <w:b w:val="0"/>
          <w:lang w:val="en-US"/>
        </w:rPr>
        <w:t xml:space="preserve">The object of this study is the socio-affective recognition of children within the Brazilian and Portuguese legal systems. The study of the socio-affective recognition of children becomes more relevant after the changes in the Family Law legislation in these two countries, which brings new family models. In these terms, we will study how socio-affective recognition of children is treated in both Brazil and Portugal, allowing a greater understanding of how this type of affiliation is established in these two systems. A comparative study of this mode of child recognition was performed as a new form of </w:t>
      </w:r>
      <w:r>
        <w:rPr>
          <w:rFonts w:cs="Times New Roman"/>
          <w:b w:val="0"/>
          <w:lang w:val="en-US"/>
        </w:rPr>
        <w:t xml:space="preserve">a </w:t>
      </w:r>
      <w:r w:rsidRPr="00F932EA">
        <w:rPr>
          <w:rFonts w:cs="Times New Roman"/>
          <w:b w:val="0"/>
          <w:lang w:val="en-US"/>
        </w:rPr>
        <w:t xml:space="preserve">family constitution. Thus, it is intended to understand how the procedure of this form of child recognition is. The </w:t>
      </w:r>
      <w:r>
        <w:rPr>
          <w:rFonts w:cs="Times New Roman"/>
          <w:b w:val="0"/>
          <w:lang w:val="en-US"/>
        </w:rPr>
        <w:t>search</w:t>
      </w:r>
      <w:r w:rsidRPr="00F932EA">
        <w:rPr>
          <w:rFonts w:cs="Times New Roman"/>
          <w:b w:val="0"/>
          <w:lang w:val="en-US"/>
        </w:rPr>
        <w:t xml:space="preserve"> is divided into three chapters. The first chapter will address the state of </w:t>
      </w:r>
      <w:r>
        <w:rPr>
          <w:rFonts w:cs="Times New Roman"/>
          <w:b w:val="0"/>
          <w:lang w:val="en-US"/>
        </w:rPr>
        <w:t>parenthood</w:t>
      </w:r>
      <w:r w:rsidRPr="00F932EA">
        <w:rPr>
          <w:rFonts w:cs="Times New Roman"/>
          <w:b w:val="0"/>
          <w:lang w:val="en-US"/>
        </w:rPr>
        <w:t xml:space="preserve"> as a fundamental right, and the principles that underpin it. Within this chapter</w:t>
      </w:r>
      <w:r>
        <w:rPr>
          <w:rFonts w:cs="Times New Roman"/>
          <w:b w:val="0"/>
          <w:lang w:val="en-US"/>
        </w:rPr>
        <w:t>,</w:t>
      </w:r>
      <w:r w:rsidRPr="00F932EA">
        <w:rPr>
          <w:rFonts w:cs="Times New Roman"/>
          <w:b w:val="0"/>
          <w:lang w:val="en-US"/>
        </w:rPr>
        <w:t xml:space="preserve"> a study of Constitutionalism was made, so that one could understand the state of </w:t>
      </w:r>
      <w:r>
        <w:rPr>
          <w:rFonts w:cs="Times New Roman"/>
          <w:b w:val="0"/>
          <w:lang w:val="en-US"/>
        </w:rPr>
        <w:t>parenthood</w:t>
      </w:r>
      <w:r w:rsidRPr="00F932EA">
        <w:rPr>
          <w:rFonts w:cs="Times New Roman"/>
          <w:b w:val="0"/>
          <w:lang w:val="en-US"/>
        </w:rPr>
        <w:t xml:space="preserve"> as a fundamental right of the human being. The second chapter will deal more specifically with filiation. The concept of filiation was approached, as well as its existing modalities that cover both biological, legal, socio-affective filiation and those resulting from medically assisted procreation. And the third chapter will go into the procedure of child recognition, and its contours in the Brazilian and Portuguese legislation. Initially, a broad approach to parenting was taken, in which child recognition falls into one of these forms. Later it is specifically addressed about child recognition when there is only one socio-affective bond between parent and child. In Brazil, there have </w:t>
      </w:r>
      <w:r>
        <w:rPr>
          <w:rFonts w:cs="Times New Roman"/>
          <w:b w:val="0"/>
          <w:lang w:val="en-US"/>
        </w:rPr>
        <w:t xml:space="preserve">been </w:t>
      </w:r>
      <w:r w:rsidRPr="00F932EA">
        <w:rPr>
          <w:rFonts w:cs="Times New Roman"/>
          <w:b w:val="0"/>
          <w:lang w:val="en-US"/>
        </w:rPr>
        <w:t>already several legislative changes that facilitated this procedure. In Portugal, there is still no specific legislation authorizing this type of recognition. However, it appears that the socio</w:t>
      </w:r>
      <w:r>
        <w:rPr>
          <w:rFonts w:cs="Times New Roman"/>
          <w:b w:val="0"/>
          <w:lang w:val="en-US"/>
        </w:rPr>
        <w:t>-</w:t>
      </w:r>
      <w:r w:rsidRPr="00F932EA">
        <w:rPr>
          <w:rFonts w:cs="Times New Roman"/>
          <w:b w:val="0"/>
          <w:lang w:val="en-US"/>
        </w:rPr>
        <w:t xml:space="preserve">cultural change that society has gone through has given birth to this yearning, which can be verified with Petition No. 451/XIII/3rd, which was analyzed in the last chapter. This </w:t>
      </w:r>
      <w:r>
        <w:rPr>
          <w:rFonts w:cs="Times New Roman"/>
          <w:b w:val="0"/>
          <w:lang w:val="en-US"/>
        </w:rPr>
        <w:t>study</w:t>
      </w:r>
      <w:r w:rsidRPr="00F932EA">
        <w:rPr>
          <w:rFonts w:cs="Times New Roman"/>
          <w:b w:val="0"/>
          <w:lang w:val="en-US"/>
        </w:rPr>
        <w:t xml:space="preserve"> is justified by the fact that the legalization of socio-affective recognition of children is an important tool for </w:t>
      </w:r>
      <w:r>
        <w:rPr>
          <w:rFonts w:cs="Times New Roman"/>
          <w:b w:val="0"/>
          <w:lang w:val="en-US"/>
        </w:rPr>
        <w:t xml:space="preserve">the </w:t>
      </w:r>
      <w:r w:rsidRPr="00F932EA">
        <w:rPr>
          <w:rFonts w:cs="Times New Roman"/>
          <w:b w:val="0"/>
          <w:lang w:val="en-US"/>
        </w:rPr>
        <w:t xml:space="preserve">family constitution. The present </w:t>
      </w:r>
      <w:r>
        <w:rPr>
          <w:rFonts w:cs="Times New Roman"/>
          <w:b w:val="0"/>
          <w:lang w:val="en-US"/>
        </w:rPr>
        <w:t xml:space="preserve">search </w:t>
      </w:r>
      <w:r w:rsidRPr="00F932EA">
        <w:rPr>
          <w:rFonts w:cs="Times New Roman"/>
          <w:b w:val="0"/>
          <w:lang w:val="en-US"/>
        </w:rPr>
        <w:t>used bibliographic and documentary research, using the deductive method.</w:t>
      </w:r>
    </w:p>
    <w:p w14:paraId="0854FB39" w14:textId="77777777" w:rsidR="007C3484" w:rsidRPr="00662E49" w:rsidRDefault="007C3484" w:rsidP="007C3484">
      <w:pPr>
        <w:ind w:firstLine="0"/>
        <w:rPr>
          <w:rFonts w:cs="Times New Roman"/>
          <w:lang w:val="en-US"/>
        </w:rPr>
      </w:pPr>
    </w:p>
    <w:p w14:paraId="3F3665D7" w14:textId="77777777" w:rsidR="007C3484" w:rsidRPr="002B4A0B" w:rsidRDefault="007C3484" w:rsidP="007C3484">
      <w:pPr>
        <w:ind w:firstLine="0"/>
        <w:rPr>
          <w:lang w:val="en-US"/>
        </w:rPr>
      </w:pPr>
      <w:r w:rsidRPr="00662E49">
        <w:rPr>
          <w:rFonts w:cs="Times New Roman"/>
          <w:lang w:val="en-US"/>
        </w:rPr>
        <w:t xml:space="preserve">KEYWORDS: </w:t>
      </w:r>
      <w:r w:rsidRPr="00F932EA">
        <w:rPr>
          <w:rFonts w:cs="Times New Roman"/>
          <w:b w:val="0"/>
          <w:lang w:val="en-US"/>
        </w:rPr>
        <w:t>socio-affective</w:t>
      </w:r>
      <w:r>
        <w:rPr>
          <w:rFonts w:cs="Times New Roman"/>
          <w:b w:val="0"/>
          <w:lang w:val="en-US"/>
        </w:rPr>
        <w:t xml:space="preserve">; </w:t>
      </w:r>
      <w:r w:rsidRPr="00F932EA">
        <w:rPr>
          <w:rFonts w:cs="Times New Roman"/>
          <w:b w:val="0"/>
          <w:lang w:val="en-US"/>
        </w:rPr>
        <w:t>recognition</w:t>
      </w:r>
      <w:r>
        <w:rPr>
          <w:rFonts w:cs="Times New Roman"/>
          <w:b w:val="0"/>
          <w:lang w:val="en-US"/>
        </w:rPr>
        <w:t>; paternity; family.</w:t>
      </w:r>
    </w:p>
    <w:p w14:paraId="568D6339" w14:textId="77777777" w:rsidR="00662E49" w:rsidRPr="00662E49" w:rsidRDefault="00662E49" w:rsidP="00662E49">
      <w:pPr>
        <w:rPr>
          <w:rFonts w:cs="Times New Roman"/>
          <w:b w:val="0"/>
          <w:color w:val="000000" w:themeColor="text1"/>
          <w:lang w:val="en-US"/>
        </w:rPr>
      </w:pPr>
    </w:p>
    <w:p w14:paraId="0924630B" w14:textId="77777777" w:rsidR="00662E49" w:rsidRPr="00662E49" w:rsidRDefault="00662E49" w:rsidP="00662E49">
      <w:pPr>
        <w:rPr>
          <w:rFonts w:cs="Times New Roman"/>
          <w:b w:val="0"/>
          <w:color w:val="000000" w:themeColor="text1"/>
          <w:lang w:val="en-US"/>
        </w:rPr>
      </w:pPr>
    </w:p>
    <w:p w14:paraId="53F84E99" w14:textId="77777777" w:rsidR="00662E49" w:rsidRPr="00662E49" w:rsidRDefault="00662E49" w:rsidP="00662E49">
      <w:pPr>
        <w:rPr>
          <w:rFonts w:cs="Times New Roman"/>
          <w:b w:val="0"/>
          <w:color w:val="000000" w:themeColor="text1"/>
          <w:lang w:val="en-US"/>
        </w:rPr>
      </w:pPr>
    </w:p>
    <w:p w14:paraId="77EC26DC" w14:textId="77777777" w:rsidR="00662E49" w:rsidRPr="00662E49" w:rsidRDefault="00662E49" w:rsidP="00662E49">
      <w:pPr>
        <w:rPr>
          <w:rFonts w:cs="Times New Roman"/>
          <w:b w:val="0"/>
          <w:color w:val="000000" w:themeColor="text1"/>
          <w:lang w:val="en-US"/>
        </w:rPr>
      </w:pPr>
    </w:p>
    <w:p w14:paraId="399BB99D" w14:textId="77777777" w:rsidR="00662E49" w:rsidRPr="00662E49" w:rsidRDefault="00662E49" w:rsidP="00662E49">
      <w:pPr>
        <w:spacing w:line="240" w:lineRule="auto"/>
        <w:rPr>
          <w:rFonts w:cs="Times New Roman"/>
          <w:b w:val="0"/>
          <w:color w:val="000000" w:themeColor="text1"/>
          <w:lang w:val="en-US"/>
        </w:rPr>
      </w:pPr>
      <w:r w:rsidRPr="00662E49">
        <w:rPr>
          <w:rFonts w:cs="Times New Roman"/>
          <w:color w:val="000000" w:themeColor="text1"/>
          <w:lang w:val="en-US"/>
        </w:rPr>
        <w:br w:type="page"/>
      </w:r>
    </w:p>
    <w:p w14:paraId="262C80E5" w14:textId="77777777" w:rsidR="00662E49" w:rsidRDefault="00662E49" w:rsidP="00662E49">
      <w:pPr>
        <w:jc w:val="center"/>
        <w:rPr>
          <w:rStyle w:val="FontStyle14"/>
          <w:rFonts w:ascii="Times New Roman" w:hAnsi="Times New Roman" w:cs="Times New Roman"/>
          <w:sz w:val="24"/>
          <w:szCs w:val="24"/>
          <w:lang w:val="fr-FR"/>
        </w:rPr>
      </w:pPr>
    </w:p>
    <w:bookmarkStart w:id="1" w:name="_Toc19986031" w:displacedByCustomXml="next"/>
    <w:bookmarkStart w:id="2" w:name="_Toc19973887" w:displacedByCustomXml="next"/>
    <w:bookmarkStart w:id="3" w:name="_Toc14111190" w:displacedByCustomXml="next"/>
    <w:bookmarkStart w:id="4" w:name="_Toc14015981" w:displacedByCustomXml="next"/>
    <w:bookmarkStart w:id="5" w:name="_Toc490583816" w:displacedByCustomXml="next"/>
    <w:bookmarkStart w:id="6" w:name="_Toc490582040" w:displacedByCustomXml="next"/>
    <w:bookmarkStart w:id="7" w:name="_Toc471323344" w:displacedByCustomXml="next"/>
    <w:bookmarkStart w:id="8" w:name="_Toc453811453" w:displacedByCustomXml="next"/>
    <w:bookmarkStart w:id="9" w:name="_Toc453811718" w:displacedByCustomXml="next"/>
    <w:bookmarkStart w:id="10" w:name="_Toc471331147" w:displacedByCustomXml="next"/>
    <w:bookmarkStart w:id="11" w:name="_Toc472899432" w:displacedByCustomXml="next"/>
    <w:bookmarkStart w:id="12" w:name="_Toc20302828" w:displacedByCustomXml="next"/>
    <w:bookmarkStart w:id="13" w:name="_Toc28034635" w:displacedByCustomXml="next"/>
    <w:sdt>
      <w:sdtPr>
        <w:rPr>
          <w:rFonts w:ascii="Palatino Linotype" w:eastAsia="Calibri" w:hAnsi="Palatino Linotype" w:cs="Palatino Linotype"/>
          <w:b w:val="0"/>
          <w:bCs w:val="0"/>
          <w:noProof/>
          <w:sz w:val="14"/>
          <w:szCs w:val="24"/>
        </w:rPr>
        <w:id w:val="-457488565"/>
        <w:docPartObj>
          <w:docPartGallery w:val="Table of Contents"/>
          <w:docPartUnique/>
        </w:docPartObj>
      </w:sdtPr>
      <w:sdtEndPr>
        <w:rPr>
          <w:rFonts w:ascii="Times New Roman" w:hAnsi="Times New Roman" w:cs="Times New Roman"/>
          <w:sz w:val="24"/>
        </w:rPr>
      </w:sdtEndPr>
      <w:sdtContent>
        <w:p w14:paraId="1459A843" w14:textId="77777777" w:rsidR="00662E49" w:rsidRPr="0088677C" w:rsidRDefault="00662E49" w:rsidP="00662E49">
          <w:pPr>
            <w:pStyle w:val="Ttulo1"/>
            <w:numPr>
              <w:ilvl w:val="0"/>
              <w:numId w:val="0"/>
            </w:numPr>
            <w:spacing w:after="120" w:line="240" w:lineRule="auto"/>
            <w:ind w:left="432" w:hanging="432"/>
            <w:rPr>
              <w:b w:val="0"/>
              <w:bCs w:val="0"/>
              <w:szCs w:val="24"/>
            </w:rPr>
          </w:pPr>
          <w:r w:rsidRPr="0088677C">
            <w:rPr>
              <w:b w:val="0"/>
              <w:bCs w:val="0"/>
              <w:szCs w:val="24"/>
            </w:rPr>
            <w:t>SUM</w:t>
          </w:r>
          <w:r w:rsidR="00355E06" w:rsidRPr="0088677C">
            <w:rPr>
              <w:b w:val="0"/>
              <w:bCs w:val="0"/>
              <w:szCs w:val="24"/>
            </w:rPr>
            <w:t>Á</w:t>
          </w:r>
          <w:r w:rsidRPr="0088677C">
            <w:rPr>
              <w:b w:val="0"/>
              <w:bCs w:val="0"/>
              <w:szCs w:val="24"/>
            </w:rPr>
            <w:t>RIO</w:t>
          </w:r>
          <w:bookmarkEnd w:id="13"/>
          <w:bookmarkEnd w:id="12"/>
          <w:bookmarkEnd w:id="11"/>
          <w:bookmarkEnd w:id="10"/>
          <w:bookmarkEnd w:id="9"/>
          <w:bookmarkEnd w:id="8"/>
          <w:bookmarkEnd w:id="7"/>
          <w:bookmarkEnd w:id="6"/>
          <w:bookmarkEnd w:id="5"/>
          <w:bookmarkEnd w:id="4"/>
          <w:bookmarkEnd w:id="3"/>
          <w:bookmarkEnd w:id="2"/>
          <w:bookmarkEnd w:id="1"/>
        </w:p>
        <w:p w14:paraId="4E98C85D" w14:textId="68E34762" w:rsidR="00380072" w:rsidRPr="00380072" w:rsidRDefault="00662E49">
          <w:pPr>
            <w:pStyle w:val="Sumrio1"/>
            <w:rPr>
              <w:rFonts w:eastAsiaTheme="minorEastAsia"/>
              <w:szCs w:val="24"/>
              <w:lang w:eastAsia="pt-BR"/>
            </w:rPr>
          </w:pPr>
          <w:r w:rsidRPr="0088677C">
            <w:rPr>
              <w:szCs w:val="24"/>
            </w:rPr>
            <w:fldChar w:fldCharType="begin"/>
          </w:r>
          <w:r w:rsidRPr="0088677C">
            <w:rPr>
              <w:szCs w:val="24"/>
            </w:rPr>
            <w:instrText xml:space="preserve"> TOC \o "1-3" \h \z \u </w:instrText>
          </w:r>
          <w:r w:rsidRPr="0088677C">
            <w:rPr>
              <w:szCs w:val="24"/>
            </w:rPr>
            <w:fldChar w:fldCharType="separate"/>
          </w:r>
          <w:hyperlink w:anchor="_Toc28034636" w:history="1">
            <w:r w:rsidR="00380072" w:rsidRPr="00380072">
              <w:rPr>
                <w:rStyle w:val="Hyperlink"/>
                <w:szCs w:val="24"/>
              </w:rPr>
              <w:t>INTRODUÇÃO</w:t>
            </w:r>
            <w:r w:rsidR="00380072" w:rsidRPr="00380072">
              <w:rPr>
                <w:webHidden/>
                <w:szCs w:val="24"/>
              </w:rPr>
              <w:tab/>
            </w:r>
            <w:r w:rsidR="00380072" w:rsidRPr="00380072">
              <w:rPr>
                <w:webHidden/>
                <w:szCs w:val="24"/>
              </w:rPr>
              <w:fldChar w:fldCharType="begin"/>
            </w:r>
            <w:r w:rsidR="00380072" w:rsidRPr="00380072">
              <w:rPr>
                <w:webHidden/>
                <w:szCs w:val="24"/>
              </w:rPr>
              <w:instrText xml:space="preserve"> PAGEREF _Toc28034636 \h </w:instrText>
            </w:r>
            <w:r w:rsidR="00380072" w:rsidRPr="00380072">
              <w:rPr>
                <w:webHidden/>
                <w:szCs w:val="24"/>
              </w:rPr>
            </w:r>
            <w:r w:rsidR="00380072" w:rsidRPr="00380072">
              <w:rPr>
                <w:webHidden/>
                <w:szCs w:val="24"/>
              </w:rPr>
              <w:fldChar w:fldCharType="separate"/>
            </w:r>
            <w:r w:rsidR="000247B5">
              <w:rPr>
                <w:webHidden/>
                <w:szCs w:val="24"/>
              </w:rPr>
              <w:t>8</w:t>
            </w:r>
            <w:r w:rsidR="00380072" w:rsidRPr="00380072">
              <w:rPr>
                <w:webHidden/>
                <w:szCs w:val="24"/>
              </w:rPr>
              <w:fldChar w:fldCharType="end"/>
            </w:r>
          </w:hyperlink>
        </w:p>
        <w:p w14:paraId="564B7033" w14:textId="2A327AA3" w:rsidR="00380072" w:rsidRPr="00380072" w:rsidRDefault="008E7500">
          <w:pPr>
            <w:pStyle w:val="Sumrio1"/>
            <w:tabs>
              <w:tab w:val="left" w:pos="660"/>
            </w:tabs>
            <w:rPr>
              <w:rFonts w:eastAsiaTheme="minorEastAsia"/>
              <w:szCs w:val="24"/>
              <w:lang w:eastAsia="pt-BR"/>
            </w:rPr>
          </w:pPr>
          <w:hyperlink w:anchor="_Toc28034637" w:history="1">
            <w:r w:rsidR="00380072" w:rsidRPr="00380072">
              <w:rPr>
                <w:rStyle w:val="Hyperlink"/>
                <w:szCs w:val="24"/>
              </w:rPr>
              <w:t>1</w:t>
            </w:r>
            <w:r w:rsidR="00380072" w:rsidRPr="00380072">
              <w:rPr>
                <w:rFonts w:eastAsiaTheme="minorEastAsia"/>
                <w:szCs w:val="24"/>
                <w:lang w:eastAsia="pt-BR"/>
              </w:rPr>
              <w:tab/>
            </w:r>
            <w:r w:rsidR="00380072" w:rsidRPr="00380072">
              <w:rPr>
                <w:rStyle w:val="Hyperlink"/>
                <w:szCs w:val="24"/>
              </w:rPr>
              <w:t>REFLEXÕES SOBRE O ESTADO DE FILIAÇÃO</w:t>
            </w:r>
            <w:r w:rsidR="00380072" w:rsidRPr="00380072">
              <w:rPr>
                <w:webHidden/>
                <w:szCs w:val="24"/>
              </w:rPr>
              <w:tab/>
            </w:r>
            <w:r w:rsidR="00380072" w:rsidRPr="00380072">
              <w:rPr>
                <w:webHidden/>
                <w:szCs w:val="24"/>
              </w:rPr>
              <w:fldChar w:fldCharType="begin"/>
            </w:r>
            <w:r w:rsidR="00380072" w:rsidRPr="00380072">
              <w:rPr>
                <w:webHidden/>
                <w:szCs w:val="24"/>
              </w:rPr>
              <w:instrText xml:space="preserve"> PAGEREF _Toc28034637 \h </w:instrText>
            </w:r>
            <w:r w:rsidR="00380072" w:rsidRPr="00380072">
              <w:rPr>
                <w:webHidden/>
                <w:szCs w:val="24"/>
              </w:rPr>
            </w:r>
            <w:r w:rsidR="00380072" w:rsidRPr="00380072">
              <w:rPr>
                <w:webHidden/>
                <w:szCs w:val="24"/>
              </w:rPr>
              <w:fldChar w:fldCharType="separate"/>
            </w:r>
            <w:r w:rsidR="000247B5">
              <w:rPr>
                <w:webHidden/>
                <w:szCs w:val="24"/>
              </w:rPr>
              <w:t>12</w:t>
            </w:r>
            <w:r w:rsidR="00380072" w:rsidRPr="00380072">
              <w:rPr>
                <w:webHidden/>
                <w:szCs w:val="24"/>
              </w:rPr>
              <w:fldChar w:fldCharType="end"/>
            </w:r>
          </w:hyperlink>
        </w:p>
        <w:p w14:paraId="271C3B42" w14:textId="6998999F" w:rsidR="00380072" w:rsidRPr="00380072" w:rsidRDefault="008E7500">
          <w:pPr>
            <w:pStyle w:val="Sumrio2"/>
            <w:rPr>
              <w:sz w:val="24"/>
              <w:szCs w:val="24"/>
            </w:rPr>
          </w:pPr>
          <w:hyperlink w:anchor="_Toc28034638" w:history="1">
            <w:r w:rsidR="00380072" w:rsidRPr="00380072">
              <w:rPr>
                <w:rStyle w:val="Hyperlink"/>
                <w:sz w:val="24"/>
                <w:szCs w:val="24"/>
              </w:rPr>
              <w:t>1.1</w:t>
            </w:r>
            <w:r w:rsidR="00380072" w:rsidRPr="00380072">
              <w:rPr>
                <w:sz w:val="24"/>
                <w:szCs w:val="24"/>
              </w:rPr>
              <w:tab/>
            </w:r>
            <w:r w:rsidR="00380072" w:rsidRPr="00380072">
              <w:rPr>
                <w:rStyle w:val="Hyperlink"/>
                <w:sz w:val="24"/>
                <w:szCs w:val="24"/>
              </w:rPr>
              <w:t>O Estado de Filiação como um Direito Fundamental</w:t>
            </w:r>
            <w:r w:rsidR="00380072" w:rsidRPr="00380072">
              <w:rPr>
                <w:webHidden/>
                <w:sz w:val="24"/>
                <w:szCs w:val="24"/>
              </w:rPr>
              <w:tab/>
            </w:r>
            <w:r w:rsidR="00380072" w:rsidRPr="00380072">
              <w:rPr>
                <w:webHidden/>
                <w:sz w:val="24"/>
                <w:szCs w:val="24"/>
              </w:rPr>
              <w:fldChar w:fldCharType="begin"/>
            </w:r>
            <w:r w:rsidR="00380072" w:rsidRPr="00380072">
              <w:rPr>
                <w:webHidden/>
                <w:sz w:val="24"/>
                <w:szCs w:val="24"/>
              </w:rPr>
              <w:instrText xml:space="preserve"> PAGEREF _Toc28034638 \h </w:instrText>
            </w:r>
            <w:r w:rsidR="00380072" w:rsidRPr="00380072">
              <w:rPr>
                <w:webHidden/>
                <w:sz w:val="24"/>
                <w:szCs w:val="24"/>
              </w:rPr>
            </w:r>
            <w:r w:rsidR="00380072" w:rsidRPr="00380072">
              <w:rPr>
                <w:webHidden/>
                <w:sz w:val="24"/>
                <w:szCs w:val="24"/>
              </w:rPr>
              <w:fldChar w:fldCharType="separate"/>
            </w:r>
            <w:r w:rsidR="000247B5">
              <w:rPr>
                <w:webHidden/>
                <w:sz w:val="24"/>
                <w:szCs w:val="24"/>
              </w:rPr>
              <w:t>12</w:t>
            </w:r>
            <w:r w:rsidR="00380072" w:rsidRPr="00380072">
              <w:rPr>
                <w:webHidden/>
                <w:sz w:val="24"/>
                <w:szCs w:val="24"/>
              </w:rPr>
              <w:fldChar w:fldCharType="end"/>
            </w:r>
          </w:hyperlink>
        </w:p>
        <w:p w14:paraId="011A0795" w14:textId="24A74010" w:rsidR="00380072" w:rsidRPr="00380072" w:rsidRDefault="008E7500">
          <w:pPr>
            <w:pStyle w:val="Sumrio2"/>
            <w:rPr>
              <w:sz w:val="24"/>
              <w:szCs w:val="24"/>
            </w:rPr>
          </w:pPr>
          <w:hyperlink w:anchor="_Toc28034639" w:history="1">
            <w:r w:rsidR="00380072" w:rsidRPr="00380072">
              <w:rPr>
                <w:rStyle w:val="Hyperlink"/>
                <w:sz w:val="24"/>
                <w:szCs w:val="24"/>
              </w:rPr>
              <w:t>1.2</w:t>
            </w:r>
            <w:r w:rsidR="00380072" w:rsidRPr="00380072">
              <w:rPr>
                <w:sz w:val="24"/>
                <w:szCs w:val="24"/>
              </w:rPr>
              <w:tab/>
            </w:r>
            <w:r w:rsidR="00380072" w:rsidRPr="00380072">
              <w:rPr>
                <w:rStyle w:val="Hyperlink"/>
                <w:sz w:val="24"/>
                <w:szCs w:val="24"/>
              </w:rPr>
              <w:t>Princípios Aplicáveis ao estado de filiação socioafetivo</w:t>
            </w:r>
            <w:r w:rsidR="00380072" w:rsidRPr="00380072">
              <w:rPr>
                <w:webHidden/>
                <w:sz w:val="24"/>
                <w:szCs w:val="24"/>
              </w:rPr>
              <w:tab/>
            </w:r>
            <w:r w:rsidR="00380072" w:rsidRPr="00380072">
              <w:rPr>
                <w:webHidden/>
                <w:sz w:val="24"/>
                <w:szCs w:val="24"/>
              </w:rPr>
              <w:fldChar w:fldCharType="begin"/>
            </w:r>
            <w:r w:rsidR="00380072" w:rsidRPr="00380072">
              <w:rPr>
                <w:webHidden/>
                <w:sz w:val="24"/>
                <w:szCs w:val="24"/>
              </w:rPr>
              <w:instrText xml:space="preserve"> PAGEREF _Toc28034639 \h </w:instrText>
            </w:r>
            <w:r w:rsidR="00380072" w:rsidRPr="00380072">
              <w:rPr>
                <w:webHidden/>
                <w:sz w:val="24"/>
                <w:szCs w:val="24"/>
              </w:rPr>
            </w:r>
            <w:r w:rsidR="00380072" w:rsidRPr="00380072">
              <w:rPr>
                <w:webHidden/>
                <w:sz w:val="24"/>
                <w:szCs w:val="24"/>
              </w:rPr>
              <w:fldChar w:fldCharType="separate"/>
            </w:r>
            <w:r w:rsidR="000247B5">
              <w:rPr>
                <w:webHidden/>
                <w:sz w:val="24"/>
                <w:szCs w:val="24"/>
              </w:rPr>
              <w:t>16</w:t>
            </w:r>
            <w:r w:rsidR="00380072" w:rsidRPr="00380072">
              <w:rPr>
                <w:webHidden/>
                <w:sz w:val="24"/>
                <w:szCs w:val="24"/>
              </w:rPr>
              <w:fldChar w:fldCharType="end"/>
            </w:r>
          </w:hyperlink>
        </w:p>
        <w:p w14:paraId="5EA17FDF" w14:textId="33534A16" w:rsidR="00380072" w:rsidRPr="00380072" w:rsidRDefault="008E7500" w:rsidP="00380072">
          <w:pPr>
            <w:pStyle w:val="Sumrio3"/>
          </w:pPr>
          <w:hyperlink w:anchor="_Toc28034640" w:history="1">
            <w:r w:rsidR="00380072" w:rsidRPr="00380072">
              <w:rPr>
                <w:rStyle w:val="Hyperlink"/>
              </w:rPr>
              <w:t>1.2.1</w:t>
            </w:r>
            <w:r w:rsidR="00380072" w:rsidRPr="00380072">
              <w:tab/>
            </w:r>
            <w:r w:rsidR="00380072" w:rsidRPr="00380072">
              <w:rPr>
                <w:rStyle w:val="Hyperlink"/>
              </w:rPr>
              <w:t>Princípio do respeito à Dignidade da Pessoa Humana</w:t>
            </w:r>
            <w:r w:rsidR="00380072" w:rsidRPr="00380072">
              <w:rPr>
                <w:webHidden/>
              </w:rPr>
              <w:tab/>
            </w:r>
            <w:r w:rsidR="00380072" w:rsidRPr="00380072">
              <w:rPr>
                <w:webHidden/>
              </w:rPr>
              <w:fldChar w:fldCharType="begin"/>
            </w:r>
            <w:r w:rsidR="00380072" w:rsidRPr="00380072">
              <w:rPr>
                <w:webHidden/>
              </w:rPr>
              <w:instrText xml:space="preserve"> PAGEREF _Toc28034640 \h </w:instrText>
            </w:r>
            <w:r w:rsidR="00380072" w:rsidRPr="00380072">
              <w:rPr>
                <w:webHidden/>
              </w:rPr>
            </w:r>
            <w:r w:rsidR="00380072" w:rsidRPr="00380072">
              <w:rPr>
                <w:webHidden/>
              </w:rPr>
              <w:fldChar w:fldCharType="separate"/>
            </w:r>
            <w:r w:rsidR="000247B5">
              <w:rPr>
                <w:webHidden/>
              </w:rPr>
              <w:t>16</w:t>
            </w:r>
            <w:r w:rsidR="00380072" w:rsidRPr="00380072">
              <w:rPr>
                <w:webHidden/>
              </w:rPr>
              <w:fldChar w:fldCharType="end"/>
            </w:r>
          </w:hyperlink>
        </w:p>
        <w:p w14:paraId="74B3764F" w14:textId="51287ABF" w:rsidR="00380072" w:rsidRPr="00380072" w:rsidRDefault="008E7500" w:rsidP="00380072">
          <w:pPr>
            <w:pStyle w:val="Sumrio3"/>
          </w:pPr>
          <w:hyperlink w:anchor="_Toc28034641" w:history="1">
            <w:r w:rsidR="00380072" w:rsidRPr="00380072">
              <w:rPr>
                <w:rStyle w:val="Hyperlink"/>
              </w:rPr>
              <w:t>1.2.2</w:t>
            </w:r>
            <w:r w:rsidR="00380072" w:rsidRPr="00380072">
              <w:tab/>
            </w:r>
            <w:r w:rsidR="00380072" w:rsidRPr="00380072">
              <w:rPr>
                <w:rStyle w:val="Hyperlink"/>
              </w:rPr>
              <w:t>Princípio da Proteção especial à família</w:t>
            </w:r>
            <w:r w:rsidR="00380072" w:rsidRPr="00380072">
              <w:rPr>
                <w:webHidden/>
              </w:rPr>
              <w:tab/>
            </w:r>
            <w:r w:rsidR="00380072" w:rsidRPr="00380072">
              <w:rPr>
                <w:webHidden/>
              </w:rPr>
              <w:fldChar w:fldCharType="begin"/>
            </w:r>
            <w:r w:rsidR="00380072" w:rsidRPr="00380072">
              <w:rPr>
                <w:webHidden/>
              </w:rPr>
              <w:instrText xml:space="preserve"> PAGEREF _Toc28034641 \h </w:instrText>
            </w:r>
            <w:r w:rsidR="00380072" w:rsidRPr="00380072">
              <w:rPr>
                <w:webHidden/>
              </w:rPr>
            </w:r>
            <w:r w:rsidR="00380072" w:rsidRPr="00380072">
              <w:rPr>
                <w:webHidden/>
              </w:rPr>
              <w:fldChar w:fldCharType="separate"/>
            </w:r>
            <w:r w:rsidR="000247B5">
              <w:rPr>
                <w:webHidden/>
              </w:rPr>
              <w:t>20</w:t>
            </w:r>
            <w:r w:rsidR="00380072" w:rsidRPr="00380072">
              <w:rPr>
                <w:webHidden/>
              </w:rPr>
              <w:fldChar w:fldCharType="end"/>
            </w:r>
          </w:hyperlink>
        </w:p>
        <w:p w14:paraId="23CEBA60" w14:textId="4285FB47" w:rsidR="00380072" w:rsidRPr="00380072" w:rsidRDefault="008E7500" w:rsidP="00380072">
          <w:pPr>
            <w:pStyle w:val="Sumrio3"/>
          </w:pPr>
          <w:hyperlink w:anchor="_Toc28034642" w:history="1">
            <w:r w:rsidR="00380072" w:rsidRPr="00380072">
              <w:rPr>
                <w:rStyle w:val="Hyperlink"/>
              </w:rPr>
              <w:t>1.2.3</w:t>
            </w:r>
            <w:r w:rsidR="00380072" w:rsidRPr="00380072">
              <w:tab/>
            </w:r>
            <w:r w:rsidR="00380072" w:rsidRPr="00380072">
              <w:rPr>
                <w:rStyle w:val="Hyperlink"/>
              </w:rPr>
              <w:t>Princípio da Solidariedade</w:t>
            </w:r>
            <w:r w:rsidR="00380072" w:rsidRPr="00380072">
              <w:rPr>
                <w:webHidden/>
              </w:rPr>
              <w:tab/>
            </w:r>
            <w:r w:rsidR="00380072" w:rsidRPr="00380072">
              <w:rPr>
                <w:webHidden/>
              </w:rPr>
              <w:fldChar w:fldCharType="begin"/>
            </w:r>
            <w:r w:rsidR="00380072" w:rsidRPr="00380072">
              <w:rPr>
                <w:webHidden/>
              </w:rPr>
              <w:instrText xml:space="preserve"> PAGEREF _Toc28034642 \h </w:instrText>
            </w:r>
            <w:r w:rsidR="00380072" w:rsidRPr="00380072">
              <w:rPr>
                <w:webHidden/>
              </w:rPr>
            </w:r>
            <w:r w:rsidR="00380072" w:rsidRPr="00380072">
              <w:rPr>
                <w:webHidden/>
              </w:rPr>
              <w:fldChar w:fldCharType="separate"/>
            </w:r>
            <w:r w:rsidR="000247B5">
              <w:rPr>
                <w:webHidden/>
              </w:rPr>
              <w:t>21</w:t>
            </w:r>
            <w:r w:rsidR="00380072" w:rsidRPr="00380072">
              <w:rPr>
                <w:webHidden/>
              </w:rPr>
              <w:fldChar w:fldCharType="end"/>
            </w:r>
          </w:hyperlink>
        </w:p>
        <w:p w14:paraId="4CD0AA26" w14:textId="57892DDF" w:rsidR="00380072" w:rsidRPr="00380072" w:rsidRDefault="008E7500" w:rsidP="00380072">
          <w:pPr>
            <w:pStyle w:val="Sumrio3"/>
          </w:pPr>
          <w:hyperlink w:anchor="_Toc28034643" w:history="1">
            <w:r w:rsidR="00380072" w:rsidRPr="00380072">
              <w:rPr>
                <w:rStyle w:val="Hyperlink"/>
              </w:rPr>
              <w:t>1.2.4</w:t>
            </w:r>
            <w:r w:rsidR="00380072" w:rsidRPr="00380072">
              <w:tab/>
            </w:r>
            <w:r w:rsidR="00380072" w:rsidRPr="00380072">
              <w:rPr>
                <w:rStyle w:val="Hyperlink"/>
              </w:rPr>
              <w:t>Princípio da Igualdade ou da não discriminação dos filhos</w:t>
            </w:r>
            <w:r w:rsidR="00380072" w:rsidRPr="00380072">
              <w:rPr>
                <w:webHidden/>
              </w:rPr>
              <w:tab/>
            </w:r>
            <w:r w:rsidR="00380072" w:rsidRPr="00380072">
              <w:rPr>
                <w:webHidden/>
              </w:rPr>
              <w:fldChar w:fldCharType="begin"/>
            </w:r>
            <w:r w:rsidR="00380072" w:rsidRPr="00380072">
              <w:rPr>
                <w:webHidden/>
              </w:rPr>
              <w:instrText xml:space="preserve"> PAGEREF _Toc28034643 \h </w:instrText>
            </w:r>
            <w:r w:rsidR="00380072" w:rsidRPr="00380072">
              <w:rPr>
                <w:webHidden/>
              </w:rPr>
            </w:r>
            <w:r w:rsidR="00380072" w:rsidRPr="00380072">
              <w:rPr>
                <w:webHidden/>
              </w:rPr>
              <w:fldChar w:fldCharType="separate"/>
            </w:r>
            <w:r w:rsidR="000247B5">
              <w:rPr>
                <w:webHidden/>
              </w:rPr>
              <w:t>22</w:t>
            </w:r>
            <w:r w:rsidR="00380072" w:rsidRPr="00380072">
              <w:rPr>
                <w:webHidden/>
              </w:rPr>
              <w:fldChar w:fldCharType="end"/>
            </w:r>
          </w:hyperlink>
        </w:p>
        <w:p w14:paraId="7C1C5343" w14:textId="6D40C305" w:rsidR="00380072" w:rsidRPr="00380072" w:rsidRDefault="008E7500" w:rsidP="00380072">
          <w:pPr>
            <w:pStyle w:val="Sumrio3"/>
          </w:pPr>
          <w:hyperlink w:anchor="_Toc28034644" w:history="1">
            <w:r w:rsidR="00380072" w:rsidRPr="00380072">
              <w:rPr>
                <w:rStyle w:val="Hyperlink"/>
              </w:rPr>
              <w:t>1.2.5</w:t>
            </w:r>
            <w:r w:rsidR="00380072" w:rsidRPr="00380072">
              <w:tab/>
            </w:r>
            <w:r w:rsidR="00380072" w:rsidRPr="00380072">
              <w:rPr>
                <w:rStyle w:val="Hyperlink"/>
              </w:rPr>
              <w:t>Princípio da Paternidade Responsável e Planejamento familiar</w:t>
            </w:r>
            <w:r w:rsidR="00380072" w:rsidRPr="00380072">
              <w:rPr>
                <w:webHidden/>
              </w:rPr>
              <w:tab/>
            </w:r>
            <w:r w:rsidR="00380072" w:rsidRPr="00380072">
              <w:rPr>
                <w:webHidden/>
              </w:rPr>
              <w:fldChar w:fldCharType="begin"/>
            </w:r>
            <w:r w:rsidR="00380072" w:rsidRPr="00380072">
              <w:rPr>
                <w:webHidden/>
              </w:rPr>
              <w:instrText xml:space="preserve"> PAGEREF _Toc28034644 \h </w:instrText>
            </w:r>
            <w:r w:rsidR="00380072" w:rsidRPr="00380072">
              <w:rPr>
                <w:webHidden/>
              </w:rPr>
            </w:r>
            <w:r w:rsidR="00380072" w:rsidRPr="00380072">
              <w:rPr>
                <w:webHidden/>
              </w:rPr>
              <w:fldChar w:fldCharType="separate"/>
            </w:r>
            <w:r w:rsidR="000247B5">
              <w:rPr>
                <w:webHidden/>
              </w:rPr>
              <w:t>26</w:t>
            </w:r>
            <w:r w:rsidR="00380072" w:rsidRPr="00380072">
              <w:rPr>
                <w:webHidden/>
              </w:rPr>
              <w:fldChar w:fldCharType="end"/>
            </w:r>
          </w:hyperlink>
        </w:p>
        <w:p w14:paraId="65B31AE9" w14:textId="0C348566" w:rsidR="00380072" w:rsidRPr="00380072" w:rsidRDefault="008E7500" w:rsidP="00380072">
          <w:pPr>
            <w:pStyle w:val="Sumrio3"/>
          </w:pPr>
          <w:hyperlink w:anchor="_Toc28034645" w:history="1">
            <w:r w:rsidR="00380072" w:rsidRPr="00380072">
              <w:rPr>
                <w:rStyle w:val="Hyperlink"/>
              </w:rPr>
              <w:t>1.2.6</w:t>
            </w:r>
            <w:r w:rsidR="00380072" w:rsidRPr="00380072">
              <w:tab/>
            </w:r>
            <w:r w:rsidR="00380072" w:rsidRPr="00380072">
              <w:rPr>
                <w:rStyle w:val="Hyperlink"/>
              </w:rPr>
              <w:t>Princípio do Melhor interesse da criança, do adolescente ou Princípio da Prioridade Absoluta</w:t>
            </w:r>
            <w:r w:rsidR="00380072" w:rsidRPr="00380072">
              <w:rPr>
                <w:webHidden/>
              </w:rPr>
              <w:tab/>
            </w:r>
            <w:r w:rsidR="00380072" w:rsidRPr="00380072">
              <w:rPr>
                <w:webHidden/>
              </w:rPr>
              <w:fldChar w:fldCharType="begin"/>
            </w:r>
            <w:r w:rsidR="00380072" w:rsidRPr="00380072">
              <w:rPr>
                <w:webHidden/>
              </w:rPr>
              <w:instrText xml:space="preserve"> PAGEREF _Toc28034645 \h </w:instrText>
            </w:r>
            <w:r w:rsidR="00380072" w:rsidRPr="00380072">
              <w:rPr>
                <w:webHidden/>
              </w:rPr>
            </w:r>
            <w:r w:rsidR="00380072" w:rsidRPr="00380072">
              <w:rPr>
                <w:webHidden/>
              </w:rPr>
              <w:fldChar w:fldCharType="separate"/>
            </w:r>
            <w:r w:rsidR="000247B5">
              <w:rPr>
                <w:webHidden/>
              </w:rPr>
              <w:t>28</w:t>
            </w:r>
            <w:r w:rsidR="00380072" w:rsidRPr="00380072">
              <w:rPr>
                <w:webHidden/>
              </w:rPr>
              <w:fldChar w:fldCharType="end"/>
            </w:r>
          </w:hyperlink>
        </w:p>
        <w:p w14:paraId="231C5A4D" w14:textId="30F359A9" w:rsidR="00380072" w:rsidRPr="00380072" w:rsidRDefault="008E7500" w:rsidP="00380072">
          <w:pPr>
            <w:pStyle w:val="Sumrio3"/>
          </w:pPr>
          <w:hyperlink w:anchor="_Toc28034646" w:history="1">
            <w:r w:rsidR="00380072" w:rsidRPr="00380072">
              <w:rPr>
                <w:rStyle w:val="Hyperlink"/>
              </w:rPr>
              <w:t>1.2.7</w:t>
            </w:r>
            <w:r w:rsidR="00380072" w:rsidRPr="00380072">
              <w:tab/>
            </w:r>
            <w:r w:rsidR="00380072" w:rsidRPr="00DC38D5">
              <w:rPr>
                <w:rStyle w:val="Hyperlink"/>
                <w:u w:val="none"/>
              </w:rPr>
              <w:t>Princípio</w:t>
            </w:r>
            <w:r w:rsidR="00380072" w:rsidRPr="00380072">
              <w:rPr>
                <w:rStyle w:val="Hyperlink"/>
              </w:rPr>
              <w:t xml:space="preserve"> da Afetividade</w:t>
            </w:r>
            <w:r w:rsidR="00380072" w:rsidRPr="00380072">
              <w:rPr>
                <w:webHidden/>
              </w:rPr>
              <w:tab/>
            </w:r>
            <w:r w:rsidR="00380072" w:rsidRPr="00380072">
              <w:rPr>
                <w:webHidden/>
              </w:rPr>
              <w:fldChar w:fldCharType="begin"/>
            </w:r>
            <w:r w:rsidR="00380072" w:rsidRPr="00380072">
              <w:rPr>
                <w:webHidden/>
              </w:rPr>
              <w:instrText xml:space="preserve"> PAGEREF _Toc28034646 \h </w:instrText>
            </w:r>
            <w:r w:rsidR="00380072" w:rsidRPr="00380072">
              <w:rPr>
                <w:webHidden/>
              </w:rPr>
            </w:r>
            <w:r w:rsidR="00380072" w:rsidRPr="00380072">
              <w:rPr>
                <w:webHidden/>
              </w:rPr>
              <w:fldChar w:fldCharType="separate"/>
            </w:r>
            <w:r w:rsidR="000247B5">
              <w:rPr>
                <w:webHidden/>
              </w:rPr>
              <w:t>30</w:t>
            </w:r>
            <w:r w:rsidR="00380072" w:rsidRPr="00380072">
              <w:rPr>
                <w:webHidden/>
              </w:rPr>
              <w:fldChar w:fldCharType="end"/>
            </w:r>
          </w:hyperlink>
        </w:p>
        <w:p w14:paraId="11C106E7" w14:textId="1D3219F8" w:rsidR="00380072" w:rsidRPr="00380072" w:rsidRDefault="008E7500" w:rsidP="00380072">
          <w:pPr>
            <w:pStyle w:val="Sumrio3"/>
          </w:pPr>
          <w:hyperlink w:anchor="_Toc28034647" w:history="1">
            <w:r w:rsidR="00380072" w:rsidRPr="00380072">
              <w:rPr>
                <w:rStyle w:val="Hyperlink"/>
              </w:rPr>
              <w:t>1.2.8</w:t>
            </w:r>
            <w:r w:rsidR="00380072" w:rsidRPr="00380072">
              <w:tab/>
            </w:r>
            <w:r w:rsidR="00380072" w:rsidRPr="00380072">
              <w:rPr>
                <w:rStyle w:val="Hyperlink"/>
              </w:rPr>
              <w:t>Princípio do Pluralismo familiar</w:t>
            </w:r>
            <w:r w:rsidR="00380072" w:rsidRPr="00380072">
              <w:rPr>
                <w:webHidden/>
              </w:rPr>
              <w:tab/>
            </w:r>
            <w:r w:rsidR="00380072" w:rsidRPr="00380072">
              <w:rPr>
                <w:webHidden/>
              </w:rPr>
              <w:fldChar w:fldCharType="begin"/>
            </w:r>
            <w:r w:rsidR="00380072" w:rsidRPr="00380072">
              <w:rPr>
                <w:webHidden/>
              </w:rPr>
              <w:instrText xml:space="preserve"> PAGEREF _Toc28034647 \h </w:instrText>
            </w:r>
            <w:r w:rsidR="00380072" w:rsidRPr="00380072">
              <w:rPr>
                <w:webHidden/>
              </w:rPr>
            </w:r>
            <w:r w:rsidR="00380072" w:rsidRPr="00380072">
              <w:rPr>
                <w:webHidden/>
              </w:rPr>
              <w:fldChar w:fldCharType="separate"/>
            </w:r>
            <w:r w:rsidR="000247B5">
              <w:rPr>
                <w:webHidden/>
              </w:rPr>
              <w:t>31</w:t>
            </w:r>
            <w:r w:rsidR="00380072" w:rsidRPr="00380072">
              <w:rPr>
                <w:webHidden/>
              </w:rPr>
              <w:fldChar w:fldCharType="end"/>
            </w:r>
          </w:hyperlink>
        </w:p>
        <w:p w14:paraId="353297F9" w14:textId="746841BC" w:rsidR="00380072" w:rsidRPr="00380072" w:rsidRDefault="008E7500">
          <w:pPr>
            <w:pStyle w:val="Sumrio1"/>
            <w:tabs>
              <w:tab w:val="left" w:pos="660"/>
            </w:tabs>
            <w:rPr>
              <w:rFonts w:eastAsiaTheme="minorEastAsia"/>
              <w:szCs w:val="24"/>
              <w:lang w:eastAsia="pt-BR"/>
            </w:rPr>
          </w:pPr>
          <w:hyperlink w:anchor="_Toc28034648" w:history="1">
            <w:r w:rsidR="00380072" w:rsidRPr="00380072">
              <w:rPr>
                <w:rStyle w:val="Hyperlink"/>
                <w:szCs w:val="24"/>
              </w:rPr>
              <w:t>2</w:t>
            </w:r>
            <w:r w:rsidR="00380072" w:rsidRPr="00380072">
              <w:rPr>
                <w:rFonts w:eastAsiaTheme="minorEastAsia"/>
                <w:szCs w:val="24"/>
                <w:lang w:eastAsia="pt-BR"/>
              </w:rPr>
              <w:tab/>
            </w:r>
            <w:r w:rsidR="00380072" w:rsidRPr="00380072">
              <w:rPr>
                <w:rStyle w:val="Hyperlink"/>
                <w:szCs w:val="24"/>
              </w:rPr>
              <w:t>CONSIDERAÇÕES INICIAIS ACERCA DA FILIAÇÃO</w:t>
            </w:r>
            <w:r w:rsidR="00380072" w:rsidRPr="00380072">
              <w:rPr>
                <w:webHidden/>
                <w:szCs w:val="24"/>
              </w:rPr>
              <w:tab/>
            </w:r>
            <w:r w:rsidR="00380072" w:rsidRPr="00380072">
              <w:rPr>
                <w:webHidden/>
                <w:szCs w:val="24"/>
              </w:rPr>
              <w:fldChar w:fldCharType="begin"/>
            </w:r>
            <w:r w:rsidR="00380072" w:rsidRPr="00380072">
              <w:rPr>
                <w:webHidden/>
                <w:szCs w:val="24"/>
              </w:rPr>
              <w:instrText xml:space="preserve"> PAGEREF _Toc28034648 \h </w:instrText>
            </w:r>
            <w:r w:rsidR="00380072" w:rsidRPr="00380072">
              <w:rPr>
                <w:webHidden/>
                <w:szCs w:val="24"/>
              </w:rPr>
            </w:r>
            <w:r w:rsidR="00380072" w:rsidRPr="00380072">
              <w:rPr>
                <w:webHidden/>
                <w:szCs w:val="24"/>
              </w:rPr>
              <w:fldChar w:fldCharType="separate"/>
            </w:r>
            <w:r w:rsidR="000247B5">
              <w:rPr>
                <w:webHidden/>
                <w:szCs w:val="24"/>
              </w:rPr>
              <w:t>34</w:t>
            </w:r>
            <w:r w:rsidR="00380072" w:rsidRPr="00380072">
              <w:rPr>
                <w:webHidden/>
                <w:szCs w:val="24"/>
              </w:rPr>
              <w:fldChar w:fldCharType="end"/>
            </w:r>
          </w:hyperlink>
        </w:p>
        <w:p w14:paraId="70FCECF1" w14:textId="716C9124" w:rsidR="00380072" w:rsidRPr="00380072" w:rsidRDefault="008E7500">
          <w:pPr>
            <w:pStyle w:val="Sumrio2"/>
            <w:rPr>
              <w:sz w:val="24"/>
              <w:szCs w:val="24"/>
            </w:rPr>
          </w:pPr>
          <w:hyperlink w:anchor="_Toc28034649" w:history="1">
            <w:r w:rsidR="00380072" w:rsidRPr="00380072">
              <w:rPr>
                <w:rStyle w:val="Hyperlink"/>
                <w:sz w:val="24"/>
                <w:szCs w:val="24"/>
              </w:rPr>
              <w:t>2.1</w:t>
            </w:r>
            <w:r w:rsidR="00380072" w:rsidRPr="00380072">
              <w:rPr>
                <w:sz w:val="24"/>
                <w:szCs w:val="24"/>
              </w:rPr>
              <w:tab/>
            </w:r>
            <w:r w:rsidR="00380072" w:rsidRPr="00380072">
              <w:rPr>
                <w:rStyle w:val="Hyperlink"/>
                <w:sz w:val="24"/>
                <w:szCs w:val="24"/>
              </w:rPr>
              <w:t>Da Filiação</w:t>
            </w:r>
            <w:r w:rsidR="00380072" w:rsidRPr="00380072">
              <w:rPr>
                <w:webHidden/>
                <w:sz w:val="24"/>
                <w:szCs w:val="24"/>
              </w:rPr>
              <w:tab/>
            </w:r>
            <w:r w:rsidR="00380072" w:rsidRPr="00380072">
              <w:rPr>
                <w:webHidden/>
                <w:sz w:val="24"/>
                <w:szCs w:val="24"/>
              </w:rPr>
              <w:fldChar w:fldCharType="begin"/>
            </w:r>
            <w:r w:rsidR="00380072" w:rsidRPr="00380072">
              <w:rPr>
                <w:webHidden/>
                <w:sz w:val="24"/>
                <w:szCs w:val="24"/>
              </w:rPr>
              <w:instrText xml:space="preserve"> PAGEREF _Toc28034649 \h </w:instrText>
            </w:r>
            <w:r w:rsidR="00380072" w:rsidRPr="00380072">
              <w:rPr>
                <w:webHidden/>
                <w:sz w:val="24"/>
                <w:szCs w:val="24"/>
              </w:rPr>
            </w:r>
            <w:r w:rsidR="00380072" w:rsidRPr="00380072">
              <w:rPr>
                <w:webHidden/>
                <w:sz w:val="24"/>
                <w:szCs w:val="24"/>
              </w:rPr>
              <w:fldChar w:fldCharType="separate"/>
            </w:r>
            <w:r w:rsidR="000247B5">
              <w:rPr>
                <w:webHidden/>
                <w:sz w:val="24"/>
                <w:szCs w:val="24"/>
              </w:rPr>
              <w:t>34</w:t>
            </w:r>
            <w:r w:rsidR="00380072" w:rsidRPr="00380072">
              <w:rPr>
                <w:webHidden/>
                <w:sz w:val="24"/>
                <w:szCs w:val="24"/>
              </w:rPr>
              <w:fldChar w:fldCharType="end"/>
            </w:r>
          </w:hyperlink>
        </w:p>
        <w:p w14:paraId="321AD050" w14:textId="105CC27D" w:rsidR="00380072" w:rsidRPr="00380072" w:rsidRDefault="008E7500" w:rsidP="00380072">
          <w:pPr>
            <w:pStyle w:val="Sumrio3"/>
          </w:pPr>
          <w:hyperlink w:anchor="_Toc28034650" w:history="1">
            <w:r w:rsidR="00380072" w:rsidRPr="00380072">
              <w:rPr>
                <w:rStyle w:val="Hyperlink"/>
              </w:rPr>
              <w:t>2.1.1</w:t>
            </w:r>
            <w:r w:rsidR="00380072" w:rsidRPr="00380072">
              <w:tab/>
            </w:r>
            <w:r w:rsidR="00380072" w:rsidRPr="00380072">
              <w:rPr>
                <w:rStyle w:val="Hyperlink"/>
              </w:rPr>
              <w:t>Filiação Jurídica</w:t>
            </w:r>
            <w:r w:rsidR="00380072" w:rsidRPr="00380072">
              <w:rPr>
                <w:webHidden/>
              </w:rPr>
              <w:tab/>
            </w:r>
            <w:r w:rsidR="00380072" w:rsidRPr="00380072">
              <w:rPr>
                <w:webHidden/>
              </w:rPr>
              <w:fldChar w:fldCharType="begin"/>
            </w:r>
            <w:r w:rsidR="00380072" w:rsidRPr="00380072">
              <w:rPr>
                <w:webHidden/>
              </w:rPr>
              <w:instrText xml:space="preserve"> PAGEREF _Toc28034650 \h </w:instrText>
            </w:r>
            <w:r w:rsidR="00380072" w:rsidRPr="00380072">
              <w:rPr>
                <w:webHidden/>
              </w:rPr>
            </w:r>
            <w:r w:rsidR="00380072" w:rsidRPr="00380072">
              <w:rPr>
                <w:webHidden/>
              </w:rPr>
              <w:fldChar w:fldCharType="separate"/>
            </w:r>
            <w:r w:rsidR="000247B5">
              <w:rPr>
                <w:webHidden/>
              </w:rPr>
              <w:t>36</w:t>
            </w:r>
            <w:r w:rsidR="00380072" w:rsidRPr="00380072">
              <w:rPr>
                <w:webHidden/>
              </w:rPr>
              <w:fldChar w:fldCharType="end"/>
            </w:r>
          </w:hyperlink>
        </w:p>
        <w:p w14:paraId="49B66328" w14:textId="34970022" w:rsidR="00380072" w:rsidRPr="00380072" w:rsidRDefault="008E7500" w:rsidP="00380072">
          <w:pPr>
            <w:pStyle w:val="Sumrio3"/>
          </w:pPr>
          <w:hyperlink w:anchor="_Toc28034651" w:history="1">
            <w:r w:rsidR="00380072" w:rsidRPr="00380072">
              <w:rPr>
                <w:rStyle w:val="Hyperlink"/>
              </w:rPr>
              <w:t>2.1.2</w:t>
            </w:r>
            <w:r w:rsidR="00380072" w:rsidRPr="00380072">
              <w:tab/>
            </w:r>
            <w:r w:rsidR="00380072" w:rsidRPr="00380072">
              <w:rPr>
                <w:rStyle w:val="Hyperlink"/>
              </w:rPr>
              <w:t>Filiação Biológica</w:t>
            </w:r>
            <w:r w:rsidR="00380072" w:rsidRPr="00380072">
              <w:rPr>
                <w:webHidden/>
              </w:rPr>
              <w:tab/>
            </w:r>
            <w:r w:rsidR="00380072" w:rsidRPr="00380072">
              <w:rPr>
                <w:webHidden/>
              </w:rPr>
              <w:fldChar w:fldCharType="begin"/>
            </w:r>
            <w:r w:rsidR="00380072" w:rsidRPr="00380072">
              <w:rPr>
                <w:webHidden/>
              </w:rPr>
              <w:instrText xml:space="preserve"> PAGEREF _Toc28034651 \h </w:instrText>
            </w:r>
            <w:r w:rsidR="00380072" w:rsidRPr="00380072">
              <w:rPr>
                <w:webHidden/>
              </w:rPr>
            </w:r>
            <w:r w:rsidR="00380072" w:rsidRPr="00380072">
              <w:rPr>
                <w:webHidden/>
              </w:rPr>
              <w:fldChar w:fldCharType="separate"/>
            </w:r>
            <w:r w:rsidR="000247B5">
              <w:rPr>
                <w:webHidden/>
              </w:rPr>
              <w:t>38</w:t>
            </w:r>
            <w:r w:rsidR="00380072" w:rsidRPr="00380072">
              <w:rPr>
                <w:webHidden/>
              </w:rPr>
              <w:fldChar w:fldCharType="end"/>
            </w:r>
          </w:hyperlink>
        </w:p>
        <w:p w14:paraId="7506C40E" w14:textId="6075CF13" w:rsidR="00380072" w:rsidRPr="00380072" w:rsidRDefault="008E7500" w:rsidP="00380072">
          <w:pPr>
            <w:pStyle w:val="Sumrio3"/>
          </w:pPr>
          <w:hyperlink w:anchor="_Toc28034652" w:history="1">
            <w:r w:rsidR="00380072" w:rsidRPr="00380072">
              <w:rPr>
                <w:rStyle w:val="Hyperlink"/>
              </w:rPr>
              <w:t>2.1.3</w:t>
            </w:r>
            <w:r w:rsidR="00380072" w:rsidRPr="00380072">
              <w:tab/>
            </w:r>
            <w:r w:rsidR="00380072" w:rsidRPr="00380072">
              <w:rPr>
                <w:rStyle w:val="Hyperlink"/>
              </w:rPr>
              <w:t>Filiação Socioafetiva</w:t>
            </w:r>
            <w:r w:rsidR="00380072" w:rsidRPr="00380072">
              <w:rPr>
                <w:webHidden/>
              </w:rPr>
              <w:tab/>
            </w:r>
            <w:r w:rsidR="00380072" w:rsidRPr="00380072">
              <w:rPr>
                <w:webHidden/>
              </w:rPr>
              <w:fldChar w:fldCharType="begin"/>
            </w:r>
            <w:r w:rsidR="00380072" w:rsidRPr="00380072">
              <w:rPr>
                <w:webHidden/>
              </w:rPr>
              <w:instrText xml:space="preserve"> PAGEREF _Toc28034652 \h </w:instrText>
            </w:r>
            <w:r w:rsidR="00380072" w:rsidRPr="00380072">
              <w:rPr>
                <w:webHidden/>
              </w:rPr>
            </w:r>
            <w:r w:rsidR="00380072" w:rsidRPr="00380072">
              <w:rPr>
                <w:webHidden/>
              </w:rPr>
              <w:fldChar w:fldCharType="separate"/>
            </w:r>
            <w:r w:rsidR="000247B5">
              <w:rPr>
                <w:webHidden/>
              </w:rPr>
              <w:t>42</w:t>
            </w:r>
            <w:r w:rsidR="00380072" w:rsidRPr="00380072">
              <w:rPr>
                <w:webHidden/>
              </w:rPr>
              <w:fldChar w:fldCharType="end"/>
            </w:r>
          </w:hyperlink>
        </w:p>
        <w:p w14:paraId="1F9C34B7" w14:textId="6D89E573" w:rsidR="00380072" w:rsidRPr="00380072" w:rsidRDefault="008E7500" w:rsidP="00380072">
          <w:pPr>
            <w:pStyle w:val="Sumrio3"/>
          </w:pPr>
          <w:hyperlink w:anchor="_Toc28034653" w:history="1">
            <w:r w:rsidR="00380072" w:rsidRPr="00380072">
              <w:rPr>
                <w:rStyle w:val="Hyperlink"/>
              </w:rPr>
              <w:t>2.1.4</w:t>
            </w:r>
            <w:r w:rsidR="00380072" w:rsidRPr="00380072">
              <w:tab/>
            </w:r>
            <w:r w:rsidR="00380072" w:rsidRPr="00380072">
              <w:rPr>
                <w:rStyle w:val="Hyperlink"/>
              </w:rPr>
              <w:t>Filiação Socioafetiva advinda da Adoção à Brasileira</w:t>
            </w:r>
            <w:r w:rsidR="00380072" w:rsidRPr="00380072">
              <w:rPr>
                <w:webHidden/>
              </w:rPr>
              <w:tab/>
            </w:r>
            <w:r w:rsidR="00380072" w:rsidRPr="00380072">
              <w:rPr>
                <w:webHidden/>
              </w:rPr>
              <w:fldChar w:fldCharType="begin"/>
            </w:r>
            <w:r w:rsidR="00380072" w:rsidRPr="00380072">
              <w:rPr>
                <w:webHidden/>
              </w:rPr>
              <w:instrText xml:space="preserve"> PAGEREF _Toc28034653 \h </w:instrText>
            </w:r>
            <w:r w:rsidR="00380072" w:rsidRPr="00380072">
              <w:rPr>
                <w:webHidden/>
              </w:rPr>
            </w:r>
            <w:r w:rsidR="00380072" w:rsidRPr="00380072">
              <w:rPr>
                <w:webHidden/>
              </w:rPr>
              <w:fldChar w:fldCharType="separate"/>
            </w:r>
            <w:r w:rsidR="000247B5">
              <w:rPr>
                <w:webHidden/>
              </w:rPr>
              <w:t>45</w:t>
            </w:r>
            <w:r w:rsidR="00380072" w:rsidRPr="00380072">
              <w:rPr>
                <w:webHidden/>
              </w:rPr>
              <w:fldChar w:fldCharType="end"/>
            </w:r>
          </w:hyperlink>
        </w:p>
        <w:p w14:paraId="469F0C0C" w14:textId="19770B44" w:rsidR="00380072" w:rsidRPr="00380072" w:rsidRDefault="008E7500" w:rsidP="00380072">
          <w:pPr>
            <w:pStyle w:val="Sumrio3"/>
          </w:pPr>
          <w:hyperlink w:anchor="_Toc28034654" w:history="1">
            <w:r w:rsidR="00380072" w:rsidRPr="00380072">
              <w:rPr>
                <w:rStyle w:val="Hyperlink"/>
              </w:rPr>
              <w:t>2.1.5</w:t>
            </w:r>
            <w:r w:rsidR="00380072" w:rsidRPr="00380072">
              <w:tab/>
            </w:r>
            <w:r w:rsidR="00380072" w:rsidRPr="00380072">
              <w:rPr>
                <w:rStyle w:val="Hyperlink"/>
              </w:rPr>
              <w:t>Filiação decorrente de Procriação Medicamente Assistida</w:t>
            </w:r>
            <w:r w:rsidR="00380072" w:rsidRPr="00380072">
              <w:rPr>
                <w:webHidden/>
              </w:rPr>
              <w:tab/>
            </w:r>
            <w:r w:rsidR="00380072" w:rsidRPr="00380072">
              <w:rPr>
                <w:webHidden/>
              </w:rPr>
              <w:fldChar w:fldCharType="begin"/>
            </w:r>
            <w:r w:rsidR="00380072" w:rsidRPr="00380072">
              <w:rPr>
                <w:webHidden/>
              </w:rPr>
              <w:instrText xml:space="preserve"> PAGEREF _Toc28034654 \h </w:instrText>
            </w:r>
            <w:r w:rsidR="00380072" w:rsidRPr="00380072">
              <w:rPr>
                <w:webHidden/>
              </w:rPr>
            </w:r>
            <w:r w:rsidR="00380072" w:rsidRPr="00380072">
              <w:rPr>
                <w:webHidden/>
              </w:rPr>
              <w:fldChar w:fldCharType="separate"/>
            </w:r>
            <w:r w:rsidR="000247B5">
              <w:rPr>
                <w:webHidden/>
              </w:rPr>
              <w:t>48</w:t>
            </w:r>
            <w:r w:rsidR="00380072" w:rsidRPr="00380072">
              <w:rPr>
                <w:webHidden/>
              </w:rPr>
              <w:fldChar w:fldCharType="end"/>
            </w:r>
          </w:hyperlink>
        </w:p>
        <w:p w14:paraId="5E9E11B5" w14:textId="6EF88BB3" w:rsidR="00380072" w:rsidRPr="00380072" w:rsidRDefault="008E7500" w:rsidP="00380072">
          <w:pPr>
            <w:pStyle w:val="Sumrio3"/>
          </w:pPr>
          <w:hyperlink w:anchor="_Toc28034655" w:history="1">
            <w:r w:rsidR="00380072" w:rsidRPr="00380072">
              <w:rPr>
                <w:rStyle w:val="Hyperlink"/>
              </w:rPr>
              <w:t>2.1.6</w:t>
            </w:r>
            <w:r w:rsidR="00380072" w:rsidRPr="00380072">
              <w:tab/>
            </w:r>
            <w:r w:rsidR="00380072" w:rsidRPr="00380072">
              <w:rPr>
                <w:rStyle w:val="Hyperlink"/>
              </w:rPr>
              <w:t>Da Posse do estado de filho</w:t>
            </w:r>
            <w:r w:rsidR="00380072" w:rsidRPr="00380072">
              <w:rPr>
                <w:webHidden/>
              </w:rPr>
              <w:tab/>
            </w:r>
            <w:r w:rsidR="00380072" w:rsidRPr="00380072">
              <w:rPr>
                <w:webHidden/>
              </w:rPr>
              <w:fldChar w:fldCharType="begin"/>
            </w:r>
            <w:r w:rsidR="00380072" w:rsidRPr="00380072">
              <w:rPr>
                <w:webHidden/>
              </w:rPr>
              <w:instrText xml:space="preserve"> PAGEREF _Toc28034655 \h </w:instrText>
            </w:r>
            <w:r w:rsidR="00380072" w:rsidRPr="00380072">
              <w:rPr>
                <w:webHidden/>
              </w:rPr>
            </w:r>
            <w:r w:rsidR="00380072" w:rsidRPr="00380072">
              <w:rPr>
                <w:webHidden/>
              </w:rPr>
              <w:fldChar w:fldCharType="separate"/>
            </w:r>
            <w:r w:rsidR="000247B5">
              <w:rPr>
                <w:webHidden/>
              </w:rPr>
              <w:t>55</w:t>
            </w:r>
            <w:r w:rsidR="00380072" w:rsidRPr="00380072">
              <w:rPr>
                <w:webHidden/>
              </w:rPr>
              <w:fldChar w:fldCharType="end"/>
            </w:r>
          </w:hyperlink>
        </w:p>
        <w:p w14:paraId="711A356D" w14:textId="344AAE49" w:rsidR="00380072" w:rsidRPr="00380072" w:rsidRDefault="008E7500">
          <w:pPr>
            <w:pStyle w:val="Sumrio1"/>
            <w:tabs>
              <w:tab w:val="left" w:pos="660"/>
            </w:tabs>
            <w:rPr>
              <w:rFonts w:eastAsiaTheme="minorEastAsia"/>
              <w:szCs w:val="24"/>
              <w:lang w:eastAsia="pt-BR"/>
            </w:rPr>
          </w:pPr>
          <w:hyperlink w:anchor="_Toc28034656" w:history="1">
            <w:r w:rsidR="00380072" w:rsidRPr="00380072">
              <w:rPr>
                <w:rStyle w:val="Hyperlink"/>
                <w:szCs w:val="24"/>
              </w:rPr>
              <w:t>3</w:t>
            </w:r>
            <w:r w:rsidR="00380072" w:rsidRPr="00380072">
              <w:rPr>
                <w:rFonts w:eastAsiaTheme="minorEastAsia"/>
                <w:szCs w:val="24"/>
                <w:lang w:eastAsia="pt-BR"/>
              </w:rPr>
              <w:tab/>
            </w:r>
            <w:r w:rsidR="00380072" w:rsidRPr="00380072">
              <w:rPr>
                <w:rStyle w:val="Hyperlink"/>
                <w:szCs w:val="24"/>
              </w:rPr>
              <w:t>O RECONHECIMENTO DE FILHO</w:t>
            </w:r>
            <w:r w:rsidR="00380072" w:rsidRPr="00380072">
              <w:rPr>
                <w:webHidden/>
                <w:szCs w:val="24"/>
              </w:rPr>
              <w:tab/>
            </w:r>
            <w:r w:rsidR="00380072" w:rsidRPr="00380072">
              <w:rPr>
                <w:webHidden/>
                <w:szCs w:val="24"/>
              </w:rPr>
              <w:fldChar w:fldCharType="begin"/>
            </w:r>
            <w:r w:rsidR="00380072" w:rsidRPr="00380072">
              <w:rPr>
                <w:webHidden/>
                <w:szCs w:val="24"/>
              </w:rPr>
              <w:instrText xml:space="preserve"> PAGEREF _Toc28034656 \h </w:instrText>
            </w:r>
            <w:r w:rsidR="00380072" w:rsidRPr="00380072">
              <w:rPr>
                <w:webHidden/>
                <w:szCs w:val="24"/>
              </w:rPr>
            </w:r>
            <w:r w:rsidR="00380072" w:rsidRPr="00380072">
              <w:rPr>
                <w:webHidden/>
                <w:szCs w:val="24"/>
              </w:rPr>
              <w:fldChar w:fldCharType="separate"/>
            </w:r>
            <w:r w:rsidR="000247B5">
              <w:rPr>
                <w:webHidden/>
                <w:szCs w:val="24"/>
              </w:rPr>
              <w:t>58</w:t>
            </w:r>
            <w:r w:rsidR="00380072" w:rsidRPr="00380072">
              <w:rPr>
                <w:webHidden/>
                <w:szCs w:val="24"/>
              </w:rPr>
              <w:fldChar w:fldCharType="end"/>
            </w:r>
          </w:hyperlink>
        </w:p>
        <w:p w14:paraId="15808D49" w14:textId="7CB14827" w:rsidR="00380072" w:rsidRPr="00380072" w:rsidRDefault="008E7500">
          <w:pPr>
            <w:pStyle w:val="Sumrio2"/>
            <w:rPr>
              <w:sz w:val="24"/>
              <w:szCs w:val="24"/>
            </w:rPr>
          </w:pPr>
          <w:hyperlink w:anchor="_Toc28034657" w:history="1">
            <w:r w:rsidR="00380072" w:rsidRPr="00380072">
              <w:rPr>
                <w:rStyle w:val="Hyperlink"/>
                <w:sz w:val="24"/>
                <w:szCs w:val="24"/>
              </w:rPr>
              <w:t>3.1</w:t>
            </w:r>
            <w:r w:rsidR="00380072" w:rsidRPr="00380072">
              <w:rPr>
                <w:sz w:val="24"/>
                <w:szCs w:val="24"/>
              </w:rPr>
              <w:tab/>
            </w:r>
            <w:r w:rsidR="00380072" w:rsidRPr="00380072">
              <w:rPr>
                <w:rStyle w:val="Hyperlink"/>
                <w:sz w:val="24"/>
                <w:szCs w:val="24"/>
              </w:rPr>
              <w:t>Formas de estabelecimento da paternidade</w:t>
            </w:r>
            <w:r w:rsidR="00380072" w:rsidRPr="00380072">
              <w:rPr>
                <w:webHidden/>
                <w:sz w:val="24"/>
                <w:szCs w:val="24"/>
              </w:rPr>
              <w:tab/>
            </w:r>
            <w:r w:rsidR="00380072" w:rsidRPr="00380072">
              <w:rPr>
                <w:webHidden/>
                <w:sz w:val="24"/>
                <w:szCs w:val="24"/>
              </w:rPr>
              <w:fldChar w:fldCharType="begin"/>
            </w:r>
            <w:r w:rsidR="00380072" w:rsidRPr="00380072">
              <w:rPr>
                <w:webHidden/>
                <w:sz w:val="24"/>
                <w:szCs w:val="24"/>
              </w:rPr>
              <w:instrText xml:space="preserve"> PAGEREF _Toc28034657 \h </w:instrText>
            </w:r>
            <w:r w:rsidR="00380072" w:rsidRPr="00380072">
              <w:rPr>
                <w:webHidden/>
                <w:sz w:val="24"/>
                <w:szCs w:val="24"/>
              </w:rPr>
            </w:r>
            <w:r w:rsidR="00380072" w:rsidRPr="00380072">
              <w:rPr>
                <w:webHidden/>
                <w:sz w:val="24"/>
                <w:szCs w:val="24"/>
              </w:rPr>
              <w:fldChar w:fldCharType="separate"/>
            </w:r>
            <w:r w:rsidR="000247B5">
              <w:rPr>
                <w:webHidden/>
                <w:sz w:val="24"/>
                <w:szCs w:val="24"/>
              </w:rPr>
              <w:t>58</w:t>
            </w:r>
            <w:r w:rsidR="00380072" w:rsidRPr="00380072">
              <w:rPr>
                <w:webHidden/>
                <w:sz w:val="24"/>
                <w:szCs w:val="24"/>
              </w:rPr>
              <w:fldChar w:fldCharType="end"/>
            </w:r>
          </w:hyperlink>
        </w:p>
        <w:p w14:paraId="7FB8F891" w14:textId="3D6E78EB" w:rsidR="00380072" w:rsidRPr="00380072" w:rsidRDefault="008E7500" w:rsidP="00380072">
          <w:pPr>
            <w:pStyle w:val="Sumrio3"/>
          </w:pPr>
          <w:hyperlink w:anchor="_Toc28034658" w:history="1">
            <w:r w:rsidR="00380072" w:rsidRPr="00380072">
              <w:rPr>
                <w:rStyle w:val="Hyperlink"/>
              </w:rPr>
              <w:t>3.1.1</w:t>
            </w:r>
            <w:r w:rsidR="00380072" w:rsidRPr="00380072">
              <w:tab/>
            </w:r>
            <w:r w:rsidR="00380072" w:rsidRPr="00380072">
              <w:rPr>
                <w:rStyle w:val="Hyperlink"/>
              </w:rPr>
              <w:t>No Brasil</w:t>
            </w:r>
            <w:r w:rsidR="00380072" w:rsidRPr="00380072">
              <w:rPr>
                <w:webHidden/>
              </w:rPr>
              <w:tab/>
            </w:r>
            <w:r w:rsidR="00380072" w:rsidRPr="00380072">
              <w:rPr>
                <w:webHidden/>
              </w:rPr>
              <w:fldChar w:fldCharType="begin"/>
            </w:r>
            <w:r w:rsidR="00380072" w:rsidRPr="00380072">
              <w:rPr>
                <w:webHidden/>
              </w:rPr>
              <w:instrText xml:space="preserve"> PAGEREF _Toc28034658 \h </w:instrText>
            </w:r>
            <w:r w:rsidR="00380072" w:rsidRPr="00380072">
              <w:rPr>
                <w:webHidden/>
              </w:rPr>
            </w:r>
            <w:r w:rsidR="00380072" w:rsidRPr="00380072">
              <w:rPr>
                <w:webHidden/>
              </w:rPr>
              <w:fldChar w:fldCharType="separate"/>
            </w:r>
            <w:r w:rsidR="000247B5">
              <w:rPr>
                <w:webHidden/>
              </w:rPr>
              <w:t>58</w:t>
            </w:r>
            <w:r w:rsidR="00380072" w:rsidRPr="00380072">
              <w:rPr>
                <w:webHidden/>
              </w:rPr>
              <w:fldChar w:fldCharType="end"/>
            </w:r>
          </w:hyperlink>
        </w:p>
        <w:p w14:paraId="7624C4B7" w14:textId="6FD874A0" w:rsidR="00380072" w:rsidRPr="00380072" w:rsidRDefault="008E7500" w:rsidP="00380072">
          <w:pPr>
            <w:pStyle w:val="Sumrio3"/>
          </w:pPr>
          <w:hyperlink w:anchor="_Toc28034659" w:history="1">
            <w:r w:rsidR="00380072" w:rsidRPr="00380072">
              <w:rPr>
                <w:rStyle w:val="Hyperlink"/>
              </w:rPr>
              <w:t>3.1.2</w:t>
            </w:r>
            <w:r w:rsidR="00380072" w:rsidRPr="00380072">
              <w:tab/>
            </w:r>
            <w:r w:rsidR="00380072" w:rsidRPr="00380072">
              <w:rPr>
                <w:rStyle w:val="Hyperlink"/>
              </w:rPr>
              <w:t>Em Portugal</w:t>
            </w:r>
            <w:r w:rsidR="00380072" w:rsidRPr="00380072">
              <w:rPr>
                <w:webHidden/>
              </w:rPr>
              <w:tab/>
            </w:r>
            <w:r w:rsidR="00380072" w:rsidRPr="00380072">
              <w:rPr>
                <w:webHidden/>
              </w:rPr>
              <w:fldChar w:fldCharType="begin"/>
            </w:r>
            <w:r w:rsidR="00380072" w:rsidRPr="00380072">
              <w:rPr>
                <w:webHidden/>
              </w:rPr>
              <w:instrText xml:space="preserve"> PAGEREF _Toc28034659 \h </w:instrText>
            </w:r>
            <w:r w:rsidR="00380072" w:rsidRPr="00380072">
              <w:rPr>
                <w:webHidden/>
              </w:rPr>
            </w:r>
            <w:r w:rsidR="00380072" w:rsidRPr="00380072">
              <w:rPr>
                <w:webHidden/>
              </w:rPr>
              <w:fldChar w:fldCharType="separate"/>
            </w:r>
            <w:r w:rsidR="000247B5">
              <w:rPr>
                <w:webHidden/>
              </w:rPr>
              <w:t>68</w:t>
            </w:r>
            <w:r w:rsidR="00380072" w:rsidRPr="00380072">
              <w:rPr>
                <w:webHidden/>
              </w:rPr>
              <w:fldChar w:fldCharType="end"/>
            </w:r>
          </w:hyperlink>
        </w:p>
        <w:p w14:paraId="7B9B8C00" w14:textId="1AEE5FB9" w:rsidR="00380072" w:rsidRPr="00380072" w:rsidRDefault="008E7500">
          <w:pPr>
            <w:pStyle w:val="Sumrio2"/>
            <w:rPr>
              <w:sz w:val="24"/>
              <w:szCs w:val="24"/>
            </w:rPr>
          </w:pPr>
          <w:hyperlink w:anchor="_Toc28034660" w:history="1">
            <w:r w:rsidR="00380072" w:rsidRPr="00380072">
              <w:rPr>
                <w:rStyle w:val="Hyperlink"/>
                <w:sz w:val="24"/>
                <w:szCs w:val="24"/>
              </w:rPr>
              <w:t>3.2</w:t>
            </w:r>
            <w:r w:rsidR="00380072" w:rsidRPr="00380072">
              <w:rPr>
                <w:sz w:val="24"/>
                <w:szCs w:val="24"/>
              </w:rPr>
              <w:tab/>
            </w:r>
            <w:r w:rsidR="00380072" w:rsidRPr="00380072">
              <w:rPr>
                <w:rStyle w:val="Hyperlink"/>
                <w:sz w:val="24"/>
                <w:szCs w:val="24"/>
              </w:rPr>
              <w:t>O Reconhecimento voluntário de filho e seus atributos</w:t>
            </w:r>
            <w:r w:rsidR="00380072" w:rsidRPr="00380072">
              <w:rPr>
                <w:webHidden/>
                <w:sz w:val="24"/>
                <w:szCs w:val="24"/>
              </w:rPr>
              <w:tab/>
            </w:r>
            <w:r w:rsidR="00380072" w:rsidRPr="00380072">
              <w:rPr>
                <w:webHidden/>
                <w:sz w:val="24"/>
                <w:szCs w:val="24"/>
              </w:rPr>
              <w:fldChar w:fldCharType="begin"/>
            </w:r>
            <w:r w:rsidR="00380072" w:rsidRPr="00380072">
              <w:rPr>
                <w:webHidden/>
                <w:sz w:val="24"/>
                <w:szCs w:val="24"/>
              </w:rPr>
              <w:instrText xml:space="preserve"> PAGEREF _Toc28034660 \h </w:instrText>
            </w:r>
            <w:r w:rsidR="00380072" w:rsidRPr="00380072">
              <w:rPr>
                <w:webHidden/>
                <w:sz w:val="24"/>
                <w:szCs w:val="24"/>
              </w:rPr>
            </w:r>
            <w:r w:rsidR="00380072" w:rsidRPr="00380072">
              <w:rPr>
                <w:webHidden/>
                <w:sz w:val="24"/>
                <w:szCs w:val="24"/>
              </w:rPr>
              <w:fldChar w:fldCharType="separate"/>
            </w:r>
            <w:r w:rsidR="000247B5">
              <w:rPr>
                <w:webHidden/>
                <w:sz w:val="24"/>
                <w:szCs w:val="24"/>
              </w:rPr>
              <w:t>75</w:t>
            </w:r>
            <w:r w:rsidR="00380072" w:rsidRPr="00380072">
              <w:rPr>
                <w:webHidden/>
                <w:sz w:val="24"/>
                <w:szCs w:val="24"/>
              </w:rPr>
              <w:fldChar w:fldCharType="end"/>
            </w:r>
          </w:hyperlink>
        </w:p>
        <w:p w14:paraId="1956CF05" w14:textId="7BEA7594" w:rsidR="00380072" w:rsidRPr="00380072" w:rsidRDefault="008E7500">
          <w:pPr>
            <w:pStyle w:val="Sumrio2"/>
            <w:rPr>
              <w:sz w:val="24"/>
              <w:szCs w:val="24"/>
            </w:rPr>
          </w:pPr>
          <w:hyperlink w:anchor="_Toc28034661" w:history="1">
            <w:r w:rsidR="00380072" w:rsidRPr="00380072">
              <w:rPr>
                <w:rStyle w:val="Hyperlink"/>
                <w:sz w:val="24"/>
                <w:szCs w:val="24"/>
              </w:rPr>
              <w:t>3.3</w:t>
            </w:r>
            <w:r w:rsidR="00380072" w:rsidRPr="00380072">
              <w:rPr>
                <w:sz w:val="24"/>
                <w:szCs w:val="24"/>
              </w:rPr>
              <w:tab/>
            </w:r>
            <w:r w:rsidR="00380072" w:rsidRPr="00380072">
              <w:rPr>
                <w:rStyle w:val="Hyperlink"/>
                <w:sz w:val="24"/>
                <w:szCs w:val="24"/>
              </w:rPr>
              <w:t>O Reconhecimento Socioafetivo de Filho</w:t>
            </w:r>
            <w:r w:rsidR="00380072" w:rsidRPr="00380072">
              <w:rPr>
                <w:webHidden/>
                <w:sz w:val="24"/>
                <w:szCs w:val="24"/>
              </w:rPr>
              <w:tab/>
            </w:r>
            <w:r w:rsidR="00380072" w:rsidRPr="00380072">
              <w:rPr>
                <w:webHidden/>
                <w:sz w:val="24"/>
                <w:szCs w:val="24"/>
              </w:rPr>
              <w:fldChar w:fldCharType="begin"/>
            </w:r>
            <w:r w:rsidR="00380072" w:rsidRPr="00380072">
              <w:rPr>
                <w:webHidden/>
                <w:sz w:val="24"/>
                <w:szCs w:val="24"/>
              </w:rPr>
              <w:instrText xml:space="preserve"> PAGEREF _Toc28034661 \h </w:instrText>
            </w:r>
            <w:r w:rsidR="00380072" w:rsidRPr="00380072">
              <w:rPr>
                <w:webHidden/>
                <w:sz w:val="24"/>
                <w:szCs w:val="24"/>
              </w:rPr>
            </w:r>
            <w:r w:rsidR="00380072" w:rsidRPr="00380072">
              <w:rPr>
                <w:webHidden/>
                <w:sz w:val="24"/>
                <w:szCs w:val="24"/>
              </w:rPr>
              <w:fldChar w:fldCharType="separate"/>
            </w:r>
            <w:r w:rsidR="000247B5">
              <w:rPr>
                <w:webHidden/>
                <w:sz w:val="24"/>
                <w:szCs w:val="24"/>
              </w:rPr>
              <w:t>79</w:t>
            </w:r>
            <w:r w:rsidR="00380072" w:rsidRPr="00380072">
              <w:rPr>
                <w:webHidden/>
                <w:sz w:val="24"/>
                <w:szCs w:val="24"/>
              </w:rPr>
              <w:fldChar w:fldCharType="end"/>
            </w:r>
          </w:hyperlink>
        </w:p>
        <w:p w14:paraId="32509F66" w14:textId="5CEA9F9A" w:rsidR="00380072" w:rsidRPr="00380072" w:rsidRDefault="008E7500" w:rsidP="00380072">
          <w:pPr>
            <w:pStyle w:val="Sumrio3"/>
          </w:pPr>
          <w:hyperlink w:anchor="_Toc28034662" w:history="1">
            <w:r w:rsidR="00380072" w:rsidRPr="00380072">
              <w:rPr>
                <w:rStyle w:val="Hyperlink"/>
              </w:rPr>
              <w:t>3.3.1</w:t>
            </w:r>
            <w:r w:rsidR="00380072" w:rsidRPr="00380072">
              <w:tab/>
            </w:r>
            <w:r w:rsidR="00380072" w:rsidRPr="00380072">
              <w:rPr>
                <w:rStyle w:val="Hyperlink"/>
              </w:rPr>
              <w:t>No Brasil</w:t>
            </w:r>
            <w:r w:rsidR="00380072" w:rsidRPr="00380072">
              <w:rPr>
                <w:webHidden/>
              </w:rPr>
              <w:tab/>
            </w:r>
            <w:r w:rsidR="00380072" w:rsidRPr="00380072">
              <w:rPr>
                <w:webHidden/>
              </w:rPr>
              <w:fldChar w:fldCharType="begin"/>
            </w:r>
            <w:r w:rsidR="00380072" w:rsidRPr="00380072">
              <w:rPr>
                <w:webHidden/>
              </w:rPr>
              <w:instrText xml:space="preserve"> PAGEREF _Toc28034662 \h </w:instrText>
            </w:r>
            <w:r w:rsidR="00380072" w:rsidRPr="00380072">
              <w:rPr>
                <w:webHidden/>
              </w:rPr>
            </w:r>
            <w:r w:rsidR="00380072" w:rsidRPr="00380072">
              <w:rPr>
                <w:webHidden/>
              </w:rPr>
              <w:fldChar w:fldCharType="separate"/>
            </w:r>
            <w:r w:rsidR="000247B5">
              <w:rPr>
                <w:webHidden/>
              </w:rPr>
              <w:t>79</w:t>
            </w:r>
            <w:r w:rsidR="00380072" w:rsidRPr="00380072">
              <w:rPr>
                <w:webHidden/>
              </w:rPr>
              <w:fldChar w:fldCharType="end"/>
            </w:r>
          </w:hyperlink>
        </w:p>
        <w:p w14:paraId="59FFE8D1" w14:textId="1BC8C09F" w:rsidR="00380072" w:rsidRPr="00380072" w:rsidRDefault="008E7500" w:rsidP="00380072">
          <w:pPr>
            <w:pStyle w:val="Sumrio3"/>
          </w:pPr>
          <w:hyperlink w:anchor="_Toc28034663" w:history="1">
            <w:r w:rsidR="00380072" w:rsidRPr="00380072">
              <w:rPr>
                <w:rStyle w:val="Hyperlink"/>
              </w:rPr>
              <w:t>3.3.1.1 Movimento de Desjudicialização</w:t>
            </w:r>
            <w:r w:rsidR="00380072" w:rsidRPr="00380072">
              <w:rPr>
                <w:webHidden/>
              </w:rPr>
              <w:tab/>
            </w:r>
            <w:r w:rsidR="00380072" w:rsidRPr="00380072">
              <w:rPr>
                <w:webHidden/>
              </w:rPr>
              <w:fldChar w:fldCharType="begin"/>
            </w:r>
            <w:r w:rsidR="00380072" w:rsidRPr="00380072">
              <w:rPr>
                <w:webHidden/>
              </w:rPr>
              <w:instrText xml:space="preserve"> PAGEREF _Toc28034663 \h </w:instrText>
            </w:r>
            <w:r w:rsidR="00380072" w:rsidRPr="00380072">
              <w:rPr>
                <w:webHidden/>
              </w:rPr>
            </w:r>
            <w:r w:rsidR="00380072" w:rsidRPr="00380072">
              <w:rPr>
                <w:webHidden/>
              </w:rPr>
              <w:fldChar w:fldCharType="separate"/>
            </w:r>
            <w:r w:rsidR="000247B5">
              <w:rPr>
                <w:webHidden/>
              </w:rPr>
              <w:t>80</w:t>
            </w:r>
            <w:r w:rsidR="00380072" w:rsidRPr="00380072">
              <w:rPr>
                <w:webHidden/>
              </w:rPr>
              <w:fldChar w:fldCharType="end"/>
            </w:r>
          </w:hyperlink>
        </w:p>
        <w:p w14:paraId="49936ED2" w14:textId="2BC369D0" w:rsidR="00380072" w:rsidRPr="00380072" w:rsidRDefault="008E7500" w:rsidP="00380072">
          <w:pPr>
            <w:pStyle w:val="Sumrio3"/>
          </w:pPr>
          <w:hyperlink w:anchor="_Toc28034664" w:history="1">
            <w:r w:rsidR="00380072" w:rsidRPr="00380072">
              <w:rPr>
                <w:rStyle w:val="Hyperlink"/>
              </w:rPr>
              <w:t>3.3.1.2 Cartórios Extrajudiciais ou Serviço Registral ou Notarial</w:t>
            </w:r>
            <w:r w:rsidR="00380072" w:rsidRPr="00380072">
              <w:rPr>
                <w:webHidden/>
              </w:rPr>
              <w:tab/>
            </w:r>
            <w:r w:rsidR="00380072" w:rsidRPr="00380072">
              <w:rPr>
                <w:webHidden/>
              </w:rPr>
              <w:fldChar w:fldCharType="begin"/>
            </w:r>
            <w:r w:rsidR="00380072" w:rsidRPr="00380072">
              <w:rPr>
                <w:webHidden/>
              </w:rPr>
              <w:instrText xml:space="preserve"> PAGEREF _Toc28034664 \h </w:instrText>
            </w:r>
            <w:r w:rsidR="00380072" w:rsidRPr="00380072">
              <w:rPr>
                <w:webHidden/>
              </w:rPr>
            </w:r>
            <w:r w:rsidR="00380072" w:rsidRPr="00380072">
              <w:rPr>
                <w:webHidden/>
              </w:rPr>
              <w:fldChar w:fldCharType="separate"/>
            </w:r>
            <w:r w:rsidR="000247B5">
              <w:rPr>
                <w:webHidden/>
              </w:rPr>
              <w:t>82</w:t>
            </w:r>
            <w:r w:rsidR="00380072" w:rsidRPr="00380072">
              <w:rPr>
                <w:webHidden/>
              </w:rPr>
              <w:fldChar w:fldCharType="end"/>
            </w:r>
          </w:hyperlink>
        </w:p>
        <w:p w14:paraId="380F4069" w14:textId="7A070BE1" w:rsidR="00380072" w:rsidRPr="00380072" w:rsidRDefault="008E7500" w:rsidP="00380072">
          <w:pPr>
            <w:pStyle w:val="Sumrio3"/>
          </w:pPr>
          <w:hyperlink w:anchor="_Toc28034665" w:history="1">
            <w:r w:rsidR="00380072" w:rsidRPr="00380072">
              <w:rPr>
                <w:rStyle w:val="Hyperlink"/>
              </w:rPr>
              <w:t>3.3.1.3 Provimento n° 63/2017, do Conselho Nacional de Justiça</w:t>
            </w:r>
            <w:r w:rsidR="00380072" w:rsidRPr="00380072">
              <w:rPr>
                <w:webHidden/>
              </w:rPr>
              <w:tab/>
            </w:r>
            <w:r w:rsidR="00380072" w:rsidRPr="00380072">
              <w:rPr>
                <w:webHidden/>
              </w:rPr>
              <w:fldChar w:fldCharType="begin"/>
            </w:r>
            <w:r w:rsidR="00380072" w:rsidRPr="00380072">
              <w:rPr>
                <w:webHidden/>
              </w:rPr>
              <w:instrText xml:space="preserve"> PAGEREF _Toc28034665 \h </w:instrText>
            </w:r>
            <w:r w:rsidR="00380072" w:rsidRPr="00380072">
              <w:rPr>
                <w:webHidden/>
              </w:rPr>
            </w:r>
            <w:r w:rsidR="00380072" w:rsidRPr="00380072">
              <w:rPr>
                <w:webHidden/>
              </w:rPr>
              <w:fldChar w:fldCharType="separate"/>
            </w:r>
            <w:r w:rsidR="000247B5">
              <w:rPr>
                <w:webHidden/>
              </w:rPr>
              <w:t>85</w:t>
            </w:r>
            <w:r w:rsidR="00380072" w:rsidRPr="00380072">
              <w:rPr>
                <w:webHidden/>
              </w:rPr>
              <w:fldChar w:fldCharType="end"/>
            </w:r>
          </w:hyperlink>
        </w:p>
        <w:p w14:paraId="3C26D8FB" w14:textId="23A950D4" w:rsidR="00380072" w:rsidRPr="00380072" w:rsidRDefault="008E7500" w:rsidP="00380072">
          <w:pPr>
            <w:pStyle w:val="Sumrio3"/>
          </w:pPr>
          <w:hyperlink w:anchor="_Toc28034666" w:history="1">
            <w:r w:rsidR="00380072" w:rsidRPr="00380072">
              <w:rPr>
                <w:rStyle w:val="Hyperlink"/>
              </w:rPr>
              <w:t>3.3.2</w:t>
            </w:r>
            <w:r w:rsidR="00380072" w:rsidRPr="00380072">
              <w:tab/>
            </w:r>
            <w:r w:rsidR="00380072" w:rsidRPr="00380072">
              <w:rPr>
                <w:rStyle w:val="Hyperlink"/>
              </w:rPr>
              <w:t>Em Portugal</w:t>
            </w:r>
            <w:r w:rsidR="00380072" w:rsidRPr="00380072">
              <w:rPr>
                <w:webHidden/>
              </w:rPr>
              <w:tab/>
            </w:r>
            <w:r w:rsidR="00380072" w:rsidRPr="00380072">
              <w:rPr>
                <w:webHidden/>
              </w:rPr>
              <w:fldChar w:fldCharType="begin"/>
            </w:r>
            <w:r w:rsidR="00380072" w:rsidRPr="00380072">
              <w:rPr>
                <w:webHidden/>
              </w:rPr>
              <w:instrText xml:space="preserve"> PAGEREF _Toc28034666 \h </w:instrText>
            </w:r>
            <w:r w:rsidR="00380072" w:rsidRPr="00380072">
              <w:rPr>
                <w:webHidden/>
              </w:rPr>
            </w:r>
            <w:r w:rsidR="00380072" w:rsidRPr="00380072">
              <w:rPr>
                <w:webHidden/>
              </w:rPr>
              <w:fldChar w:fldCharType="separate"/>
            </w:r>
            <w:r w:rsidR="000247B5">
              <w:rPr>
                <w:webHidden/>
              </w:rPr>
              <w:t>90</w:t>
            </w:r>
            <w:r w:rsidR="00380072" w:rsidRPr="00380072">
              <w:rPr>
                <w:webHidden/>
              </w:rPr>
              <w:fldChar w:fldCharType="end"/>
            </w:r>
          </w:hyperlink>
        </w:p>
        <w:p w14:paraId="395EF10C" w14:textId="47C5F107" w:rsidR="00380072" w:rsidRPr="00380072" w:rsidRDefault="008E7500" w:rsidP="00380072">
          <w:pPr>
            <w:pStyle w:val="Sumrio3"/>
          </w:pPr>
          <w:hyperlink w:anchor="_Toc28034667" w:history="1">
            <w:r w:rsidR="00380072" w:rsidRPr="00380072">
              <w:rPr>
                <w:rStyle w:val="Hyperlink"/>
              </w:rPr>
              <w:t>3.3.2.1 Petição n° 451/XIII/3ª</w:t>
            </w:r>
            <w:r w:rsidR="00380072" w:rsidRPr="00380072">
              <w:rPr>
                <w:webHidden/>
              </w:rPr>
              <w:tab/>
            </w:r>
            <w:r w:rsidR="00380072" w:rsidRPr="00380072">
              <w:rPr>
                <w:webHidden/>
              </w:rPr>
              <w:fldChar w:fldCharType="begin"/>
            </w:r>
            <w:r w:rsidR="00380072" w:rsidRPr="00380072">
              <w:rPr>
                <w:webHidden/>
              </w:rPr>
              <w:instrText xml:space="preserve"> PAGEREF _Toc28034667 \h </w:instrText>
            </w:r>
            <w:r w:rsidR="00380072" w:rsidRPr="00380072">
              <w:rPr>
                <w:webHidden/>
              </w:rPr>
            </w:r>
            <w:r w:rsidR="00380072" w:rsidRPr="00380072">
              <w:rPr>
                <w:webHidden/>
              </w:rPr>
              <w:fldChar w:fldCharType="separate"/>
            </w:r>
            <w:r w:rsidR="000247B5">
              <w:rPr>
                <w:webHidden/>
              </w:rPr>
              <w:t>93</w:t>
            </w:r>
            <w:r w:rsidR="00380072" w:rsidRPr="00380072">
              <w:rPr>
                <w:webHidden/>
              </w:rPr>
              <w:fldChar w:fldCharType="end"/>
            </w:r>
          </w:hyperlink>
        </w:p>
        <w:p w14:paraId="0A52275D" w14:textId="4A391891" w:rsidR="00380072" w:rsidRDefault="008E7500">
          <w:pPr>
            <w:pStyle w:val="Sumrio1"/>
            <w:rPr>
              <w:rFonts w:asciiTheme="minorHAnsi" w:eastAsiaTheme="minorEastAsia" w:hAnsiTheme="minorHAnsi" w:cstheme="minorBidi"/>
              <w:sz w:val="22"/>
              <w:lang w:eastAsia="pt-BR"/>
            </w:rPr>
          </w:pPr>
          <w:hyperlink w:anchor="_Toc28034668" w:history="1">
            <w:r w:rsidR="00380072" w:rsidRPr="00FF52F0">
              <w:rPr>
                <w:rStyle w:val="Hyperlink"/>
              </w:rPr>
              <w:t>CONCLUSÃO</w:t>
            </w:r>
            <w:r w:rsidR="00380072">
              <w:rPr>
                <w:webHidden/>
              </w:rPr>
              <w:tab/>
            </w:r>
            <w:r w:rsidR="00380072">
              <w:rPr>
                <w:webHidden/>
              </w:rPr>
              <w:fldChar w:fldCharType="begin"/>
            </w:r>
            <w:r w:rsidR="00380072">
              <w:rPr>
                <w:webHidden/>
              </w:rPr>
              <w:instrText xml:space="preserve"> PAGEREF _Toc28034668 \h </w:instrText>
            </w:r>
            <w:r w:rsidR="00380072">
              <w:rPr>
                <w:webHidden/>
              </w:rPr>
            </w:r>
            <w:r w:rsidR="00380072">
              <w:rPr>
                <w:webHidden/>
              </w:rPr>
              <w:fldChar w:fldCharType="separate"/>
            </w:r>
            <w:r w:rsidR="000247B5">
              <w:rPr>
                <w:webHidden/>
              </w:rPr>
              <w:t>98</w:t>
            </w:r>
            <w:r w:rsidR="00380072">
              <w:rPr>
                <w:webHidden/>
              </w:rPr>
              <w:fldChar w:fldCharType="end"/>
            </w:r>
          </w:hyperlink>
        </w:p>
        <w:p w14:paraId="0CBCD1A3" w14:textId="713692F7" w:rsidR="00380072" w:rsidRDefault="008E7500">
          <w:pPr>
            <w:pStyle w:val="Sumrio1"/>
            <w:rPr>
              <w:rFonts w:asciiTheme="minorHAnsi" w:eastAsiaTheme="minorEastAsia" w:hAnsiTheme="minorHAnsi" w:cstheme="minorBidi"/>
              <w:sz w:val="22"/>
              <w:lang w:eastAsia="pt-BR"/>
            </w:rPr>
          </w:pPr>
          <w:hyperlink w:anchor="_Toc28034669" w:history="1">
            <w:r w:rsidR="00380072" w:rsidRPr="00FF52F0">
              <w:rPr>
                <w:rStyle w:val="Hyperlink"/>
              </w:rPr>
              <w:t>REFERÊNCIAS BIBLIOGRÁFICAS</w:t>
            </w:r>
            <w:r w:rsidR="00380072">
              <w:rPr>
                <w:webHidden/>
              </w:rPr>
              <w:tab/>
            </w:r>
            <w:r w:rsidR="00380072">
              <w:rPr>
                <w:webHidden/>
              </w:rPr>
              <w:fldChar w:fldCharType="begin"/>
            </w:r>
            <w:r w:rsidR="00380072">
              <w:rPr>
                <w:webHidden/>
              </w:rPr>
              <w:instrText xml:space="preserve"> PAGEREF _Toc28034669 \h </w:instrText>
            </w:r>
            <w:r w:rsidR="00380072">
              <w:rPr>
                <w:webHidden/>
              </w:rPr>
            </w:r>
            <w:r w:rsidR="00380072">
              <w:rPr>
                <w:webHidden/>
              </w:rPr>
              <w:fldChar w:fldCharType="separate"/>
            </w:r>
            <w:r w:rsidR="000247B5">
              <w:rPr>
                <w:webHidden/>
              </w:rPr>
              <w:t>103</w:t>
            </w:r>
            <w:r w:rsidR="00380072">
              <w:rPr>
                <w:webHidden/>
              </w:rPr>
              <w:fldChar w:fldCharType="end"/>
            </w:r>
          </w:hyperlink>
        </w:p>
        <w:p w14:paraId="42C30C31" w14:textId="77777777" w:rsidR="00662E49" w:rsidRPr="0088677C" w:rsidRDefault="00662E49" w:rsidP="009A23E4">
          <w:pPr>
            <w:pStyle w:val="Sumrio1"/>
            <w:rPr>
              <w:szCs w:val="24"/>
            </w:rPr>
          </w:pPr>
          <w:r w:rsidRPr="0088677C">
            <w:rPr>
              <w:szCs w:val="24"/>
            </w:rPr>
            <w:fldChar w:fldCharType="end"/>
          </w:r>
        </w:p>
      </w:sdtContent>
    </w:sdt>
    <w:p w14:paraId="4FB7938F" w14:textId="77777777" w:rsidR="00736E5F" w:rsidRDefault="00736E5F" w:rsidP="00662E49">
      <w:pPr>
        <w:jc w:val="center"/>
        <w:rPr>
          <w:rStyle w:val="FontStyle14"/>
          <w:rFonts w:ascii="Times New Roman" w:hAnsi="Times New Roman" w:cs="Times New Roman"/>
          <w:sz w:val="24"/>
          <w:szCs w:val="24"/>
          <w:lang w:val="fr-FR"/>
        </w:rPr>
      </w:pPr>
    </w:p>
    <w:p w14:paraId="50A4B408" w14:textId="77777777" w:rsidR="000241FB" w:rsidRDefault="000241FB" w:rsidP="00662E49">
      <w:pPr>
        <w:jc w:val="center"/>
        <w:rPr>
          <w:rStyle w:val="FontStyle14"/>
          <w:rFonts w:ascii="Times New Roman" w:hAnsi="Times New Roman" w:cs="Times New Roman"/>
          <w:sz w:val="24"/>
          <w:szCs w:val="24"/>
          <w:lang w:val="fr-FR"/>
        </w:rPr>
      </w:pPr>
    </w:p>
    <w:p w14:paraId="599B8400" w14:textId="77777777" w:rsidR="000241FB" w:rsidRDefault="000241FB" w:rsidP="00662E49">
      <w:pPr>
        <w:jc w:val="center"/>
        <w:rPr>
          <w:rStyle w:val="FontStyle14"/>
          <w:rFonts w:ascii="Times New Roman" w:hAnsi="Times New Roman" w:cs="Times New Roman"/>
          <w:sz w:val="24"/>
          <w:szCs w:val="24"/>
          <w:lang w:val="fr-FR"/>
        </w:rPr>
      </w:pPr>
    </w:p>
    <w:p w14:paraId="3E23DFD2" w14:textId="77777777" w:rsidR="000241FB" w:rsidRDefault="000241FB" w:rsidP="00662E49">
      <w:pPr>
        <w:jc w:val="center"/>
        <w:rPr>
          <w:rStyle w:val="FontStyle14"/>
          <w:rFonts w:ascii="Times New Roman" w:hAnsi="Times New Roman" w:cs="Times New Roman"/>
          <w:sz w:val="24"/>
          <w:szCs w:val="24"/>
          <w:lang w:val="fr-FR"/>
        </w:rPr>
      </w:pPr>
    </w:p>
    <w:p w14:paraId="014E63BE" w14:textId="77777777" w:rsidR="000241FB" w:rsidRDefault="000241FB" w:rsidP="00662E49">
      <w:pPr>
        <w:jc w:val="center"/>
        <w:rPr>
          <w:rStyle w:val="FontStyle14"/>
          <w:rFonts w:ascii="Times New Roman" w:hAnsi="Times New Roman" w:cs="Times New Roman"/>
          <w:sz w:val="24"/>
          <w:szCs w:val="24"/>
          <w:lang w:val="fr-FR"/>
        </w:rPr>
      </w:pPr>
    </w:p>
    <w:p w14:paraId="37552B71" w14:textId="77777777" w:rsidR="000241FB" w:rsidRDefault="000241FB" w:rsidP="00662E49">
      <w:pPr>
        <w:jc w:val="center"/>
        <w:rPr>
          <w:rStyle w:val="FontStyle14"/>
          <w:rFonts w:ascii="Times New Roman" w:hAnsi="Times New Roman" w:cs="Times New Roman"/>
          <w:sz w:val="24"/>
          <w:szCs w:val="24"/>
          <w:lang w:val="fr-FR"/>
        </w:rPr>
      </w:pPr>
    </w:p>
    <w:p w14:paraId="59706977" w14:textId="77777777" w:rsidR="000241FB" w:rsidRDefault="000241FB" w:rsidP="00662E49">
      <w:pPr>
        <w:jc w:val="center"/>
        <w:rPr>
          <w:rStyle w:val="FontStyle14"/>
          <w:rFonts w:ascii="Times New Roman" w:hAnsi="Times New Roman" w:cs="Times New Roman"/>
          <w:sz w:val="24"/>
          <w:szCs w:val="24"/>
          <w:lang w:val="fr-FR"/>
        </w:rPr>
      </w:pPr>
    </w:p>
    <w:p w14:paraId="488AD03F" w14:textId="77777777" w:rsidR="000241FB" w:rsidRDefault="000241FB" w:rsidP="00662E49">
      <w:pPr>
        <w:jc w:val="center"/>
        <w:rPr>
          <w:rStyle w:val="FontStyle14"/>
          <w:rFonts w:ascii="Times New Roman" w:hAnsi="Times New Roman" w:cs="Times New Roman"/>
          <w:sz w:val="24"/>
          <w:szCs w:val="24"/>
          <w:lang w:val="fr-FR"/>
        </w:rPr>
      </w:pPr>
    </w:p>
    <w:p w14:paraId="1063EECF" w14:textId="77777777" w:rsidR="000241FB" w:rsidRDefault="000241FB" w:rsidP="00662E49">
      <w:pPr>
        <w:jc w:val="center"/>
        <w:rPr>
          <w:rStyle w:val="FontStyle14"/>
          <w:rFonts w:ascii="Times New Roman" w:hAnsi="Times New Roman" w:cs="Times New Roman"/>
          <w:sz w:val="24"/>
          <w:szCs w:val="24"/>
          <w:lang w:val="fr-FR"/>
        </w:rPr>
      </w:pPr>
    </w:p>
    <w:p w14:paraId="64CD4095" w14:textId="77777777" w:rsidR="000241FB" w:rsidRDefault="000241FB" w:rsidP="00662E49">
      <w:pPr>
        <w:jc w:val="center"/>
        <w:rPr>
          <w:rStyle w:val="FontStyle14"/>
          <w:rFonts w:ascii="Times New Roman" w:hAnsi="Times New Roman" w:cs="Times New Roman"/>
          <w:sz w:val="24"/>
          <w:szCs w:val="24"/>
          <w:lang w:val="fr-FR"/>
        </w:rPr>
      </w:pPr>
    </w:p>
    <w:p w14:paraId="3133759D" w14:textId="77777777" w:rsidR="000241FB" w:rsidRDefault="000241FB" w:rsidP="00662E49">
      <w:pPr>
        <w:jc w:val="center"/>
        <w:rPr>
          <w:rStyle w:val="FontStyle14"/>
          <w:rFonts w:ascii="Times New Roman" w:hAnsi="Times New Roman" w:cs="Times New Roman"/>
          <w:sz w:val="24"/>
          <w:szCs w:val="24"/>
          <w:lang w:val="fr-FR"/>
        </w:rPr>
      </w:pPr>
    </w:p>
    <w:p w14:paraId="1E33C794" w14:textId="77777777" w:rsidR="000241FB" w:rsidRDefault="000241FB" w:rsidP="00662E49">
      <w:pPr>
        <w:jc w:val="center"/>
        <w:rPr>
          <w:rStyle w:val="FontStyle14"/>
          <w:rFonts w:ascii="Times New Roman" w:hAnsi="Times New Roman" w:cs="Times New Roman"/>
          <w:sz w:val="24"/>
          <w:szCs w:val="24"/>
          <w:lang w:val="fr-FR"/>
        </w:rPr>
      </w:pPr>
    </w:p>
    <w:p w14:paraId="437C2D71" w14:textId="77777777" w:rsidR="000241FB" w:rsidRDefault="000241FB" w:rsidP="00662E49">
      <w:pPr>
        <w:jc w:val="center"/>
        <w:rPr>
          <w:rStyle w:val="FontStyle14"/>
          <w:rFonts w:ascii="Times New Roman" w:hAnsi="Times New Roman" w:cs="Times New Roman"/>
          <w:sz w:val="24"/>
          <w:szCs w:val="24"/>
          <w:lang w:val="fr-FR"/>
        </w:rPr>
      </w:pPr>
    </w:p>
    <w:p w14:paraId="0DE81621" w14:textId="77777777" w:rsidR="000241FB" w:rsidRDefault="000241FB" w:rsidP="00662E49">
      <w:pPr>
        <w:jc w:val="center"/>
        <w:rPr>
          <w:rStyle w:val="FontStyle14"/>
          <w:rFonts w:ascii="Times New Roman" w:hAnsi="Times New Roman" w:cs="Times New Roman"/>
          <w:sz w:val="24"/>
          <w:szCs w:val="24"/>
          <w:lang w:val="fr-FR"/>
        </w:rPr>
      </w:pPr>
    </w:p>
    <w:p w14:paraId="1BA5ADCF" w14:textId="77777777" w:rsidR="000241FB" w:rsidRDefault="000241FB" w:rsidP="00662E49">
      <w:pPr>
        <w:jc w:val="center"/>
        <w:rPr>
          <w:rStyle w:val="FontStyle14"/>
          <w:rFonts w:ascii="Times New Roman" w:hAnsi="Times New Roman" w:cs="Times New Roman"/>
          <w:sz w:val="24"/>
          <w:szCs w:val="24"/>
          <w:lang w:val="fr-FR"/>
        </w:rPr>
      </w:pPr>
    </w:p>
    <w:p w14:paraId="3E098C0E" w14:textId="77777777" w:rsidR="000241FB" w:rsidRDefault="000241FB" w:rsidP="00662E49">
      <w:pPr>
        <w:jc w:val="center"/>
        <w:rPr>
          <w:rStyle w:val="FontStyle14"/>
          <w:rFonts w:ascii="Times New Roman" w:hAnsi="Times New Roman" w:cs="Times New Roman"/>
          <w:sz w:val="24"/>
          <w:szCs w:val="24"/>
          <w:lang w:val="fr-FR"/>
        </w:rPr>
      </w:pPr>
    </w:p>
    <w:p w14:paraId="0F4ED539" w14:textId="77777777" w:rsidR="000241FB" w:rsidRDefault="000241FB" w:rsidP="00662E49">
      <w:pPr>
        <w:jc w:val="center"/>
        <w:rPr>
          <w:rStyle w:val="FontStyle14"/>
          <w:rFonts w:ascii="Times New Roman" w:hAnsi="Times New Roman" w:cs="Times New Roman"/>
          <w:sz w:val="24"/>
          <w:szCs w:val="24"/>
          <w:lang w:val="fr-FR"/>
        </w:rPr>
      </w:pPr>
    </w:p>
    <w:p w14:paraId="5E56A0E8" w14:textId="77777777" w:rsidR="000241FB" w:rsidRDefault="000241FB" w:rsidP="00662E49">
      <w:pPr>
        <w:jc w:val="center"/>
        <w:rPr>
          <w:rStyle w:val="FontStyle14"/>
          <w:rFonts w:ascii="Times New Roman" w:hAnsi="Times New Roman" w:cs="Times New Roman"/>
          <w:sz w:val="24"/>
          <w:szCs w:val="24"/>
          <w:lang w:val="fr-FR"/>
        </w:rPr>
      </w:pPr>
    </w:p>
    <w:p w14:paraId="3C67BCC6" w14:textId="77777777" w:rsidR="000241FB" w:rsidRDefault="000241FB" w:rsidP="00662E49">
      <w:pPr>
        <w:jc w:val="center"/>
        <w:rPr>
          <w:rStyle w:val="FontStyle14"/>
          <w:rFonts w:ascii="Times New Roman" w:hAnsi="Times New Roman" w:cs="Times New Roman"/>
          <w:sz w:val="24"/>
          <w:szCs w:val="24"/>
          <w:lang w:val="fr-FR"/>
        </w:rPr>
      </w:pPr>
    </w:p>
    <w:p w14:paraId="72C1BF42" w14:textId="77777777" w:rsidR="000241FB" w:rsidRDefault="000241FB" w:rsidP="00662E49">
      <w:pPr>
        <w:jc w:val="center"/>
        <w:rPr>
          <w:rStyle w:val="FontStyle14"/>
          <w:rFonts w:ascii="Times New Roman" w:hAnsi="Times New Roman" w:cs="Times New Roman"/>
          <w:sz w:val="24"/>
          <w:szCs w:val="24"/>
          <w:lang w:val="fr-FR"/>
        </w:rPr>
      </w:pPr>
    </w:p>
    <w:p w14:paraId="0DD3442F" w14:textId="77777777" w:rsidR="000241FB" w:rsidRDefault="000241FB" w:rsidP="00662E49">
      <w:pPr>
        <w:jc w:val="center"/>
        <w:rPr>
          <w:rStyle w:val="FontStyle14"/>
          <w:rFonts w:ascii="Times New Roman" w:hAnsi="Times New Roman" w:cs="Times New Roman"/>
          <w:sz w:val="24"/>
          <w:szCs w:val="24"/>
          <w:lang w:val="fr-FR"/>
        </w:rPr>
      </w:pPr>
    </w:p>
    <w:p w14:paraId="7CEB86A1" w14:textId="77777777" w:rsidR="000241FB" w:rsidRDefault="000241FB" w:rsidP="00662E49">
      <w:pPr>
        <w:jc w:val="center"/>
        <w:rPr>
          <w:rStyle w:val="FontStyle14"/>
          <w:rFonts w:ascii="Times New Roman" w:hAnsi="Times New Roman" w:cs="Times New Roman"/>
          <w:sz w:val="24"/>
          <w:szCs w:val="24"/>
          <w:lang w:val="fr-FR"/>
        </w:rPr>
      </w:pPr>
    </w:p>
    <w:p w14:paraId="7298BA3B" w14:textId="77777777" w:rsidR="000241FB" w:rsidRDefault="000241FB" w:rsidP="00662E49">
      <w:pPr>
        <w:jc w:val="center"/>
        <w:rPr>
          <w:rStyle w:val="FontStyle14"/>
          <w:rFonts w:ascii="Times New Roman" w:hAnsi="Times New Roman" w:cs="Times New Roman"/>
          <w:sz w:val="24"/>
          <w:szCs w:val="24"/>
          <w:lang w:val="fr-FR"/>
        </w:rPr>
      </w:pPr>
    </w:p>
    <w:p w14:paraId="682D716D" w14:textId="77777777" w:rsidR="00553DB9" w:rsidRDefault="00553DB9">
      <w:pPr>
        <w:rPr>
          <w:rStyle w:val="FontStyle14"/>
          <w:rFonts w:ascii="Times New Roman" w:hAnsi="Times New Roman" w:cs="Times New Roman"/>
          <w:sz w:val="24"/>
          <w:szCs w:val="24"/>
          <w:lang w:val="fr-FR"/>
        </w:rPr>
      </w:pPr>
      <w:r>
        <w:rPr>
          <w:rStyle w:val="FontStyle14"/>
          <w:rFonts w:ascii="Times New Roman" w:hAnsi="Times New Roman" w:cs="Times New Roman"/>
          <w:sz w:val="24"/>
          <w:szCs w:val="24"/>
          <w:lang w:val="fr-FR"/>
        </w:rPr>
        <w:br w:type="page"/>
      </w:r>
    </w:p>
    <w:p w14:paraId="32655683" w14:textId="77777777" w:rsidR="00662E49" w:rsidRPr="00662E49" w:rsidRDefault="00662E49" w:rsidP="00662E49">
      <w:pPr>
        <w:jc w:val="center"/>
        <w:rPr>
          <w:rStyle w:val="FontStyle14"/>
          <w:rFonts w:ascii="Times New Roman" w:hAnsi="Times New Roman" w:cs="Times New Roman"/>
          <w:b w:val="0"/>
          <w:sz w:val="24"/>
          <w:szCs w:val="24"/>
          <w:lang w:val="fr-FR"/>
        </w:rPr>
      </w:pPr>
      <w:r w:rsidRPr="00662E49">
        <w:rPr>
          <w:rStyle w:val="FontStyle14"/>
          <w:rFonts w:ascii="Times New Roman" w:hAnsi="Times New Roman" w:cs="Times New Roman"/>
          <w:sz w:val="24"/>
          <w:szCs w:val="24"/>
          <w:lang w:val="fr-FR"/>
        </w:rPr>
        <w:t>LISTA DE SIGLAS E TERMOS TÉCNICOS</w:t>
      </w:r>
    </w:p>
    <w:p w14:paraId="74B4B95A" w14:textId="77777777" w:rsidR="00662E49" w:rsidRPr="00662E49" w:rsidRDefault="00662E49" w:rsidP="00662E49">
      <w:pPr>
        <w:jc w:val="center"/>
        <w:rPr>
          <w:rStyle w:val="FontStyle14"/>
          <w:rFonts w:ascii="Times New Roman" w:hAnsi="Times New Roman" w:cs="Times New Roman"/>
          <w:b w:val="0"/>
          <w:sz w:val="24"/>
          <w:szCs w:val="24"/>
          <w:lang w:val="fr-FR"/>
        </w:rPr>
      </w:pPr>
    </w:p>
    <w:p w14:paraId="5437A2C3" w14:textId="77777777" w:rsidR="00662E49" w:rsidRPr="00662E49" w:rsidRDefault="00662E49" w:rsidP="00662E49">
      <w:pPr>
        <w:pStyle w:val="Style3"/>
        <w:widowControl/>
        <w:spacing w:after="60"/>
        <w:rPr>
          <w:rStyle w:val="FontStyle14"/>
          <w:rFonts w:ascii="Times New Roman" w:hAnsi="Times New Roman" w:cs="Times New Roman"/>
          <w:color w:val="000000"/>
          <w:sz w:val="24"/>
          <w:szCs w:val="24"/>
          <w:lang w:val="fr-FR"/>
        </w:rPr>
      </w:pPr>
    </w:p>
    <w:p w14:paraId="756BF06C" w14:textId="77777777" w:rsidR="00173414" w:rsidRPr="00662E49" w:rsidRDefault="00173414" w:rsidP="00173414">
      <w:pPr>
        <w:pStyle w:val="Style3"/>
        <w:widowControl/>
        <w:spacing w:after="60" w:line="360" w:lineRule="auto"/>
        <w:rPr>
          <w:rFonts w:ascii="Times New Roman" w:hAnsi="Times New Roman"/>
          <w:color w:val="000000"/>
          <w:lang w:val="pt-BR"/>
        </w:rPr>
      </w:pPr>
      <w:r>
        <w:rPr>
          <w:rStyle w:val="FontStyle14"/>
          <w:rFonts w:ascii="Times New Roman" w:hAnsi="Times New Roman" w:cs="Times New Roman"/>
          <w:b/>
          <w:color w:val="000000"/>
          <w:sz w:val="24"/>
          <w:szCs w:val="24"/>
          <w:lang w:val="pt-BR"/>
        </w:rPr>
        <w:t>ADI</w:t>
      </w:r>
      <w:r w:rsidRPr="00662E49">
        <w:rPr>
          <w:rStyle w:val="FontStyle14"/>
          <w:rFonts w:ascii="Times New Roman" w:hAnsi="Times New Roman" w:cs="Times New Roman"/>
          <w:b/>
          <w:color w:val="000000"/>
          <w:sz w:val="24"/>
          <w:szCs w:val="24"/>
          <w:lang w:val="pt-BR"/>
        </w:rPr>
        <w:t xml:space="preserve">      </w:t>
      </w:r>
      <w:r w:rsidRPr="00662E49">
        <w:rPr>
          <w:rStyle w:val="FontStyle14"/>
          <w:rFonts w:ascii="Times New Roman" w:hAnsi="Times New Roman" w:cs="Times New Roman"/>
          <w:color w:val="000000"/>
          <w:sz w:val="24"/>
          <w:szCs w:val="24"/>
          <w:lang w:val="pt-BR"/>
        </w:rPr>
        <w:t xml:space="preserve"> </w:t>
      </w:r>
      <w:r w:rsidRPr="00662E49">
        <w:rPr>
          <w:rStyle w:val="FontStyle14"/>
          <w:rFonts w:ascii="Times New Roman" w:hAnsi="Times New Roman" w:cs="Times New Roman"/>
          <w:color w:val="000000"/>
          <w:sz w:val="24"/>
          <w:szCs w:val="24"/>
          <w:lang w:val="pt-BR"/>
        </w:rPr>
        <w:tab/>
        <w:t xml:space="preserve">- </w:t>
      </w:r>
      <w:r>
        <w:rPr>
          <w:rStyle w:val="FontStyle14"/>
          <w:rFonts w:ascii="Times New Roman" w:hAnsi="Times New Roman" w:cs="Times New Roman"/>
          <w:color w:val="000000"/>
          <w:sz w:val="24"/>
          <w:szCs w:val="24"/>
          <w:lang w:val="pt-BR"/>
        </w:rPr>
        <w:t>Ação Direta de Inconstitucionalidade</w:t>
      </w:r>
      <w:r w:rsidRPr="00662E49">
        <w:rPr>
          <w:rFonts w:ascii="Times New Roman" w:hAnsi="Times New Roman"/>
          <w:color w:val="000000"/>
          <w:lang w:val="pt-BR"/>
        </w:rPr>
        <w:t xml:space="preserve"> </w:t>
      </w:r>
    </w:p>
    <w:p w14:paraId="48F35A6B" w14:textId="77777777" w:rsidR="00662E49" w:rsidRPr="00662E49" w:rsidRDefault="00662E49" w:rsidP="00662E49">
      <w:pPr>
        <w:pStyle w:val="Style3"/>
        <w:widowControl/>
        <w:spacing w:after="60" w:line="360" w:lineRule="auto"/>
        <w:rPr>
          <w:rFonts w:ascii="Times New Roman" w:hAnsi="Times New Roman"/>
          <w:color w:val="000000"/>
          <w:lang w:val="pt-BR"/>
        </w:rPr>
      </w:pPr>
      <w:r w:rsidRPr="00662E49">
        <w:rPr>
          <w:rStyle w:val="FontStyle14"/>
          <w:rFonts w:ascii="Times New Roman" w:hAnsi="Times New Roman" w:cs="Times New Roman"/>
          <w:b/>
          <w:color w:val="000000"/>
          <w:sz w:val="24"/>
          <w:szCs w:val="24"/>
          <w:lang w:val="pt-BR"/>
        </w:rPr>
        <w:t xml:space="preserve">CC      </w:t>
      </w:r>
      <w:r w:rsidRPr="00662E49">
        <w:rPr>
          <w:rStyle w:val="FontStyle14"/>
          <w:rFonts w:ascii="Times New Roman" w:hAnsi="Times New Roman" w:cs="Times New Roman"/>
          <w:color w:val="000000"/>
          <w:sz w:val="24"/>
          <w:szCs w:val="24"/>
          <w:lang w:val="pt-BR"/>
        </w:rPr>
        <w:t xml:space="preserve"> </w:t>
      </w:r>
      <w:r w:rsidRPr="00662E49">
        <w:rPr>
          <w:rStyle w:val="FontStyle14"/>
          <w:rFonts w:ascii="Times New Roman" w:hAnsi="Times New Roman" w:cs="Times New Roman"/>
          <w:color w:val="000000"/>
          <w:sz w:val="24"/>
          <w:szCs w:val="24"/>
          <w:lang w:val="pt-BR"/>
        </w:rPr>
        <w:tab/>
        <w:t xml:space="preserve">- </w:t>
      </w:r>
      <w:r w:rsidRPr="00662E49">
        <w:rPr>
          <w:rFonts w:ascii="Times New Roman" w:hAnsi="Times New Roman"/>
          <w:color w:val="000000"/>
          <w:lang w:val="pt-BR"/>
        </w:rPr>
        <w:t xml:space="preserve">Código Civil </w:t>
      </w:r>
    </w:p>
    <w:p w14:paraId="3AE08606" w14:textId="77777777" w:rsidR="00662E49" w:rsidRPr="00662E49" w:rsidRDefault="00662E49" w:rsidP="00662E49">
      <w:pPr>
        <w:pStyle w:val="Style3"/>
        <w:widowControl/>
        <w:spacing w:after="60" w:line="360" w:lineRule="auto"/>
        <w:rPr>
          <w:rStyle w:val="FontStyle14"/>
          <w:rFonts w:ascii="Times New Roman" w:hAnsi="Times New Roman" w:cs="Times New Roman"/>
          <w:color w:val="000000"/>
          <w:sz w:val="24"/>
          <w:szCs w:val="24"/>
          <w:lang w:val="pt-BR"/>
        </w:rPr>
      </w:pPr>
      <w:r w:rsidRPr="00662E49">
        <w:rPr>
          <w:rStyle w:val="FontStyle14"/>
          <w:rFonts w:ascii="Times New Roman" w:hAnsi="Times New Roman" w:cs="Times New Roman"/>
          <w:b/>
          <w:color w:val="000000"/>
          <w:sz w:val="24"/>
          <w:szCs w:val="24"/>
          <w:lang w:val="pt-BR"/>
        </w:rPr>
        <w:t>CCJ</w:t>
      </w:r>
      <w:r w:rsidRPr="00662E49">
        <w:rPr>
          <w:rStyle w:val="FontStyle14"/>
          <w:rFonts w:ascii="Times New Roman" w:hAnsi="Times New Roman" w:cs="Times New Roman"/>
          <w:color w:val="000000"/>
          <w:sz w:val="24"/>
          <w:szCs w:val="24"/>
          <w:lang w:val="pt-BR"/>
        </w:rPr>
        <w:t xml:space="preserve"> </w:t>
      </w:r>
      <w:r w:rsidRPr="00662E49">
        <w:rPr>
          <w:rStyle w:val="FontStyle14"/>
          <w:rFonts w:ascii="Times New Roman" w:hAnsi="Times New Roman" w:cs="Times New Roman"/>
          <w:color w:val="000000"/>
          <w:sz w:val="24"/>
          <w:szCs w:val="24"/>
          <w:lang w:val="pt-BR"/>
        </w:rPr>
        <w:tab/>
      </w:r>
      <w:r w:rsidRPr="00662E49">
        <w:rPr>
          <w:rStyle w:val="FontStyle14"/>
          <w:rFonts w:ascii="Times New Roman" w:hAnsi="Times New Roman" w:cs="Times New Roman"/>
          <w:color w:val="000000"/>
          <w:sz w:val="24"/>
          <w:szCs w:val="24"/>
          <w:lang w:val="pt-BR"/>
        </w:rPr>
        <w:tab/>
        <w:t>- Comissão de Constituição e Justiça</w:t>
      </w:r>
    </w:p>
    <w:p w14:paraId="52827523" w14:textId="77777777" w:rsidR="00DA6738" w:rsidRDefault="00662E49" w:rsidP="00662E49">
      <w:pPr>
        <w:pStyle w:val="Style3"/>
        <w:widowControl/>
        <w:spacing w:after="60" w:line="360" w:lineRule="auto"/>
        <w:rPr>
          <w:rStyle w:val="FontStyle14"/>
          <w:rFonts w:ascii="Times New Roman" w:hAnsi="Times New Roman" w:cs="Times New Roman"/>
          <w:color w:val="000000"/>
          <w:sz w:val="24"/>
          <w:szCs w:val="24"/>
          <w:lang w:val="pt-BR"/>
        </w:rPr>
      </w:pPr>
      <w:r w:rsidRPr="00662E49">
        <w:rPr>
          <w:rStyle w:val="FontStyle14"/>
          <w:rFonts w:ascii="Times New Roman" w:hAnsi="Times New Roman" w:cs="Times New Roman"/>
          <w:b/>
          <w:color w:val="000000"/>
          <w:sz w:val="24"/>
          <w:szCs w:val="24"/>
          <w:lang w:val="pt-BR"/>
        </w:rPr>
        <w:t>CF</w:t>
      </w:r>
      <w:r w:rsidR="00DA6738">
        <w:rPr>
          <w:rStyle w:val="FontStyle14"/>
          <w:rFonts w:ascii="Times New Roman" w:hAnsi="Times New Roman" w:cs="Times New Roman"/>
          <w:b/>
          <w:color w:val="000000"/>
          <w:sz w:val="24"/>
          <w:szCs w:val="24"/>
          <w:lang w:val="pt-BR"/>
        </w:rPr>
        <w:t>B</w:t>
      </w:r>
      <w:r w:rsidRPr="00662E49">
        <w:rPr>
          <w:rStyle w:val="FontStyle14"/>
          <w:rFonts w:ascii="Times New Roman" w:hAnsi="Times New Roman" w:cs="Times New Roman"/>
          <w:color w:val="000000"/>
          <w:sz w:val="24"/>
          <w:szCs w:val="24"/>
          <w:lang w:val="pt-BR"/>
        </w:rPr>
        <w:t xml:space="preserve"> </w:t>
      </w:r>
      <w:r w:rsidRPr="00662E49">
        <w:rPr>
          <w:rStyle w:val="FontStyle14"/>
          <w:rFonts w:ascii="Times New Roman" w:hAnsi="Times New Roman" w:cs="Times New Roman"/>
          <w:color w:val="000000"/>
          <w:sz w:val="24"/>
          <w:szCs w:val="24"/>
          <w:lang w:val="pt-BR"/>
        </w:rPr>
        <w:tab/>
      </w:r>
      <w:r w:rsidRPr="00662E49">
        <w:rPr>
          <w:rStyle w:val="FontStyle14"/>
          <w:rFonts w:ascii="Times New Roman" w:hAnsi="Times New Roman" w:cs="Times New Roman"/>
          <w:color w:val="000000"/>
          <w:sz w:val="24"/>
          <w:szCs w:val="24"/>
          <w:lang w:val="pt-BR"/>
        </w:rPr>
        <w:tab/>
        <w:t>- Constituição Federal</w:t>
      </w:r>
      <w:r w:rsidR="00DA6738">
        <w:rPr>
          <w:rStyle w:val="FontStyle14"/>
          <w:rFonts w:ascii="Times New Roman" w:hAnsi="Times New Roman" w:cs="Times New Roman"/>
          <w:color w:val="000000"/>
          <w:sz w:val="24"/>
          <w:szCs w:val="24"/>
          <w:lang w:val="pt-BR"/>
        </w:rPr>
        <w:t xml:space="preserve"> Brasileira</w:t>
      </w:r>
    </w:p>
    <w:p w14:paraId="71D49B33" w14:textId="77777777" w:rsidR="00CA0EB0" w:rsidRDefault="00CA0EB0" w:rsidP="00CA0EB0">
      <w:pPr>
        <w:pStyle w:val="Style3"/>
        <w:widowControl/>
        <w:spacing w:after="60" w:line="360" w:lineRule="auto"/>
        <w:rPr>
          <w:rStyle w:val="FontStyle14"/>
          <w:rFonts w:ascii="Times New Roman" w:hAnsi="Times New Roman" w:cs="Times New Roman"/>
          <w:color w:val="000000"/>
          <w:sz w:val="24"/>
          <w:szCs w:val="24"/>
          <w:lang w:val="pt-BR"/>
        </w:rPr>
      </w:pPr>
      <w:r w:rsidRPr="00662E49">
        <w:rPr>
          <w:rStyle w:val="FontStyle14"/>
          <w:rFonts w:ascii="Times New Roman" w:hAnsi="Times New Roman" w:cs="Times New Roman"/>
          <w:b/>
          <w:color w:val="000000"/>
          <w:sz w:val="24"/>
          <w:szCs w:val="24"/>
          <w:lang w:val="pt-BR"/>
        </w:rPr>
        <w:t>C</w:t>
      </w:r>
      <w:r>
        <w:rPr>
          <w:rStyle w:val="FontStyle14"/>
          <w:rFonts w:ascii="Times New Roman" w:hAnsi="Times New Roman" w:cs="Times New Roman"/>
          <w:b/>
          <w:color w:val="000000"/>
          <w:sz w:val="24"/>
          <w:szCs w:val="24"/>
          <w:lang w:val="pt-BR"/>
        </w:rPr>
        <w:t>JF</w:t>
      </w:r>
      <w:r w:rsidRPr="00662E49">
        <w:rPr>
          <w:rStyle w:val="FontStyle14"/>
          <w:rFonts w:ascii="Times New Roman" w:hAnsi="Times New Roman" w:cs="Times New Roman"/>
          <w:color w:val="000000"/>
          <w:sz w:val="24"/>
          <w:szCs w:val="24"/>
          <w:lang w:val="pt-BR"/>
        </w:rPr>
        <w:t xml:space="preserve"> </w:t>
      </w:r>
      <w:r w:rsidRPr="00662E49">
        <w:rPr>
          <w:rStyle w:val="FontStyle14"/>
          <w:rFonts w:ascii="Times New Roman" w:hAnsi="Times New Roman" w:cs="Times New Roman"/>
          <w:color w:val="000000"/>
          <w:sz w:val="24"/>
          <w:szCs w:val="24"/>
          <w:lang w:val="pt-BR"/>
        </w:rPr>
        <w:tab/>
      </w:r>
      <w:r w:rsidRPr="00662E49">
        <w:rPr>
          <w:rStyle w:val="FontStyle14"/>
          <w:rFonts w:ascii="Times New Roman" w:hAnsi="Times New Roman" w:cs="Times New Roman"/>
          <w:color w:val="000000"/>
          <w:sz w:val="24"/>
          <w:szCs w:val="24"/>
          <w:lang w:val="pt-BR"/>
        </w:rPr>
        <w:tab/>
        <w:t>- Cons</w:t>
      </w:r>
      <w:r>
        <w:rPr>
          <w:rStyle w:val="FontStyle14"/>
          <w:rFonts w:ascii="Times New Roman" w:hAnsi="Times New Roman" w:cs="Times New Roman"/>
          <w:color w:val="000000"/>
          <w:sz w:val="24"/>
          <w:szCs w:val="24"/>
          <w:lang w:val="pt-BR"/>
        </w:rPr>
        <w:t>elho da Justiça Federal</w:t>
      </w:r>
    </w:p>
    <w:p w14:paraId="0452EB6B" w14:textId="77777777" w:rsidR="00662E49" w:rsidRPr="00DA6738" w:rsidRDefault="00DA6738" w:rsidP="00662E49">
      <w:pPr>
        <w:pStyle w:val="Style3"/>
        <w:widowControl/>
        <w:spacing w:after="60" w:line="360" w:lineRule="auto"/>
        <w:rPr>
          <w:rStyle w:val="FontStyle14"/>
          <w:rFonts w:ascii="Times New Roman" w:hAnsi="Times New Roman" w:cs="Times New Roman"/>
          <w:b/>
          <w:bCs/>
          <w:color w:val="000000"/>
          <w:sz w:val="24"/>
          <w:szCs w:val="24"/>
          <w:lang w:val="pt-BR"/>
        </w:rPr>
      </w:pPr>
      <w:r w:rsidRPr="00DA6738">
        <w:rPr>
          <w:rStyle w:val="FontStyle14"/>
          <w:rFonts w:ascii="Times New Roman" w:hAnsi="Times New Roman" w:cs="Times New Roman"/>
          <w:b/>
          <w:bCs/>
          <w:color w:val="000000"/>
          <w:sz w:val="24"/>
          <w:szCs w:val="24"/>
          <w:lang w:val="pt-BR"/>
        </w:rPr>
        <w:t>CRP</w:t>
      </w:r>
      <w:r w:rsidR="00662E49" w:rsidRPr="00DA6738">
        <w:rPr>
          <w:rStyle w:val="FontStyle14"/>
          <w:rFonts w:ascii="Times New Roman" w:hAnsi="Times New Roman" w:cs="Times New Roman"/>
          <w:b/>
          <w:bCs/>
          <w:color w:val="000000"/>
          <w:sz w:val="24"/>
          <w:szCs w:val="24"/>
          <w:lang w:val="pt-BR"/>
        </w:rPr>
        <w:tab/>
      </w:r>
      <w:r w:rsidR="00662E49" w:rsidRPr="00DA6738">
        <w:rPr>
          <w:rStyle w:val="FontStyle14"/>
          <w:rFonts w:ascii="Times New Roman" w:hAnsi="Times New Roman" w:cs="Times New Roman"/>
          <w:b/>
          <w:bCs/>
          <w:color w:val="000000"/>
          <w:sz w:val="24"/>
          <w:szCs w:val="24"/>
          <w:lang w:val="pt-BR"/>
        </w:rPr>
        <w:tab/>
      </w:r>
      <w:r>
        <w:rPr>
          <w:rStyle w:val="FontStyle14"/>
          <w:rFonts w:ascii="Times New Roman" w:hAnsi="Times New Roman" w:cs="Times New Roman"/>
          <w:b/>
          <w:bCs/>
          <w:color w:val="000000"/>
          <w:sz w:val="24"/>
          <w:szCs w:val="24"/>
          <w:lang w:val="pt-BR"/>
        </w:rPr>
        <w:t xml:space="preserve">- </w:t>
      </w:r>
      <w:r w:rsidRPr="00DA6738">
        <w:rPr>
          <w:rStyle w:val="FontStyle14"/>
          <w:rFonts w:ascii="Times New Roman" w:hAnsi="Times New Roman" w:cs="Times New Roman"/>
          <w:color w:val="000000"/>
          <w:sz w:val="24"/>
          <w:szCs w:val="24"/>
          <w:lang w:val="pt-BR"/>
        </w:rPr>
        <w:t>Constituição da República Portuguesa</w:t>
      </w:r>
    </w:p>
    <w:p w14:paraId="7C1E0CF5" w14:textId="77777777" w:rsidR="00662E49" w:rsidRPr="00662E49" w:rsidRDefault="00662E49" w:rsidP="00662E49">
      <w:pPr>
        <w:pStyle w:val="Style3"/>
        <w:widowControl/>
        <w:spacing w:after="60" w:line="360" w:lineRule="auto"/>
        <w:rPr>
          <w:rStyle w:val="FontStyle14"/>
          <w:rFonts w:ascii="Times New Roman" w:hAnsi="Times New Roman" w:cs="Times New Roman"/>
          <w:color w:val="000000"/>
          <w:sz w:val="24"/>
          <w:szCs w:val="24"/>
          <w:lang w:val="pt-BR"/>
        </w:rPr>
      </w:pPr>
      <w:r w:rsidRPr="00662E49">
        <w:rPr>
          <w:rStyle w:val="FontStyle14"/>
          <w:rFonts w:ascii="Times New Roman" w:hAnsi="Times New Roman" w:cs="Times New Roman"/>
          <w:b/>
          <w:color w:val="000000"/>
          <w:sz w:val="24"/>
          <w:szCs w:val="24"/>
          <w:lang w:val="pt-BR"/>
        </w:rPr>
        <w:t>CNJ</w:t>
      </w:r>
      <w:r w:rsidRPr="00662E49">
        <w:rPr>
          <w:rStyle w:val="FontStyle14"/>
          <w:rFonts w:ascii="Times New Roman" w:hAnsi="Times New Roman" w:cs="Times New Roman"/>
          <w:color w:val="000000"/>
          <w:sz w:val="24"/>
          <w:szCs w:val="24"/>
          <w:lang w:val="pt-BR"/>
        </w:rPr>
        <w:t xml:space="preserve"> </w:t>
      </w:r>
      <w:r w:rsidRPr="00662E49">
        <w:rPr>
          <w:rStyle w:val="FontStyle14"/>
          <w:rFonts w:ascii="Times New Roman" w:hAnsi="Times New Roman" w:cs="Times New Roman"/>
          <w:color w:val="000000"/>
          <w:sz w:val="24"/>
          <w:szCs w:val="24"/>
          <w:lang w:val="pt-BR"/>
        </w:rPr>
        <w:tab/>
      </w:r>
      <w:r w:rsidRPr="00662E49">
        <w:rPr>
          <w:rStyle w:val="FontStyle14"/>
          <w:rFonts w:ascii="Times New Roman" w:hAnsi="Times New Roman" w:cs="Times New Roman"/>
          <w:color w:val="000000"/>
          <w:sz w:val="24"/>
          <w:szCs w:val="24"/>
          <w:lang w:val="pt-BR"/>
        </w:rPr>
        <w:tab/>
        <w:t>- Conselho Nacional de Justiça</w:t>
      </w:r>
    </w:p>
    <w:p w14:paraId="27E40FD6" w14:textId="77777777" w:rsidR="00662E49" w:rsidRPr="00662E49" w:rsidRDefault="00662E49" w:rsidP="00662E49">
      <w:pPr>
        <w:pStyle w:val="Style3"/>
        <w:widowControl/>
        <w:spacing w:after="60" w:line="360" w:lineRule="auto"/>
        <w:rPr>
          <w:rStyle w:val="FontStyle14"/>
          <w:rFonts w:ascii="Times New Roman" w:hAnsi="Times New Roman" w:cs="Times New Roman"/>
          <w:color w:val="000000"/>
          <w:sz w:val="24"/>
          <w:szCs w:val="24"/>
          <w:lang w:val="pt-BR"/>
        </w:rPr>
      </w:pPr>
      <w:r w:rsidRPr="00662E49">
        <w:rPr>
          <w:rStyle w:val="FontStyle14"/>
          <w:rFonts w:ascii="Times New Roman" w:hAnsi="Times New Roman" w:cs="Times New Roman"/>
          <w:b/>
          <w:color w:val="000000"/>
          <w:sz w:val="24"/>
          <w:szCs w:val="24"/>
          <w:lang w:val="pt-BR"/>
        </w:rPr>
        <w:t>CPC</w:t>
      </w:r>
      <w:r w:rsidRPr="00662E49">
        <w:rPr>
          <w:rStyle w:val="FontStyle14"/>
          <w:rFonts w:ascii="Times New Roman" w:hAnsi="Times New Roman" w:cs="Times New Roman"/>
          <w:color w:val="000000"/>
          <w:sz w:val="24"/>
          <w:szCs w:val="24"/>
          <w:lang w:val="pt-BR"/>
        </w:rPr>
        <w:t xml:space="preserve"> </w:t>
      </w:r>
      <w:r w:rsidRPr="00662E49">
        <w:rPr>
          <w:rStyle w:val="FontStyle14"/>
          <w:rFonts w:ascii="Times New Roman" w:hAnsi="Times New Roman" w:cs="Times New Roman"/>
          <w:color w:val="000000"/>
          <w:sz w:val="24"/>
          <w:szCs w:val="24"/>
          <w:lang w:val="pt-BR"/>
        </w:rPr>
        <w:tab/>
      </w:r>
      <w:r w:rsidRPr="00662E49">
        <w:rPr>
          <w:rStyle w:val="FontStyle14"/>
          <w:rFonts w:ascii="Times New Roman" w:hAnsi="Times New Roman" w:cs="Times New Roman"/>
          <w:color w:val="000000"/>
          <w:sz w:val="24"/>
          <w:szCs w:val="24"/>
          <w:lang w:val="pt-BR"/>
        </w:rPr>
        <w:tab/>
        <w:t>- Código de Processo Civil</w:t>
      </w:r>
    </w:p>
    <w:p w14:paraId="73404FE4" w14:textId="77777777" w:rsidR="00662E49" w:rsidRPr="00662E49" w:rsidRDefault="00662E49" w:rsidP="00662E49">
      <w:pPr>
        <w:pStyle w:val="Style3"/>
        <w:widowControl/>
        <w:spacing w:after="60" w:line="360" w:lineRule="auto"/>
        <w:rPr>
          <w:rStyle w:val="FontStyle14"/>
          <w:rFonts w:ascii="Times New Roman" w:hAnsi="Times New Roman" w:cs="Times New Roman"/>
          <w:color w:val="000000"/>
          <w:sz w:val="24"/>
          <w:szCs w:val="24"/>
          <w:lang w:val="pt-BR"/>
        </w:rPr>
      </w:pPr>
      <w:r w:rsidRPr="00662E49">
        <w:rPr>
          <w:rStyle w:val="FontStyle14"/>
          <w:rFonts w:ascii="Times New Roman" w:hAnsi="Times New Roman" w:cs="Times New Roman"/>
          <w:b/>
          <w:color w:val="000000"/>
          <w:sz w:val="24"/>
          <w:szCs w:val="24"/>
          <w:lang w:val="pt-BR"/>
        </w:rPr>
        <w:t xml:space="preserve">EC </w:t>
      </w:r>
      <w:r w:rsidRPr="00662E49">
        <w:rPr>
          <w:rStyle w:val="FontStyle14"/>
          <w:rFonts w:ascii="Times New Roman" w:hAnsi="Times New Roman" w:cs="Times New Roman"/>
          <w:color w:val="000000"/>
          <w:sz w:val="24"/>
          <w:szCs w:val="24"/>
          <w:lang w:val="pt-BR"/>
        </w:rPr>
        <w:tab/>
      </w:r>
      <w:r w:rsidRPr="00662E49">
        <w:rPr>
          <w:rStyle w:val="FontStyle14"/>
          <w:rFonts w:ascii="Times New Roman" w:hAnsi="Times New Roman" w:cs="Times New Roman"/>
          <w:color w:val="000000"/>
          <w:sz w:val="24"/>
          <w:szCs w:val="24"/>
          <w:lang w:val="pt-BR"/>
        </w:rPr>
        <w:tab/>
        <w:t>- Emenda Constitucional</w:t>
      </w:r>
    </w:p>
    <w:p w14:paraId="0545E527" w14:textId="77777777" w:rsidR="00662E49" w:rsidRDefault="00662E49" w:rsidP="00662E49">
      <w:pPr>
        <w:pStyle w:val="Style3"/>
        <w:widowControl/>
        <w:spacing w:after="60" w:line="360" w:lineRule="auto"/>
        <w:rPr>
          <w:rFonts w:ascii="Times New Roman" w:hAnsi="Times New Roman"/>
          <w:color w:val="000000"/>
          <w:lang w:val="pt-BR"/>
        </w:rPr>
      </w:pPr>
      <w:r w:rsidRPr="00662E49">
        <w:rPr>
          <w:rStyle w:val="FontStyle14"/>
          <w:rFonts w:ascii="Times New Roman" w:hAnsi="Times New Roman" w:cs="Times New Roman"/>
          <w:b/>
          <w:color w:val="000000"/>
          <w:sz w:val="24"/>
          <w:szCs w:val="24"/>
          <w:lang w:val="pt-BR"/>
        </w:rPr>
        <w:t>NCPC</w:t>
      </w:r>
      <w:r w:rsidRPr="00662E49">
        <w:rPr>
          <w:rStyle w:val="FontStyle14"/>
          <w:rFonts w:ascii="Times New Roman" w:hAnsi="Times New Roman" w:cs="Times New Roman"/>
          <w:color w:val="000000"/>
          <w:sz w:val="24"/>
          <w:szCs w:val="24"/>
          <w:lang w:val="pt-BR"/>
        </w:rPr>
        <w:t xml:space="preserve"> </w:t>
      </w:r>
      <w:r w:rsidRPr="00662E49">
        <w:rPr>
          <w:rStyle w:val="FontStyle14"/>
          <w:rFonts w:ascii="Times New Roman" w:hAnsi="Times New Roman" w:cs="Times New Roman"/>
          <w:color w:val="000000"/>
          <w:sz w:val="24"/>
          <w:szCs w:val="24"/>
          <w:lang w:val="pt-BR"/>
        </w:rPr>
        <w:tab/>
        <w:t xml:space="preserve">- Novo </w:t>
      </w:r>
      <w:r w:rsidRPr="00662E49">
        <w:rPr>
          <w:rFonts w:ascii="Times New Roman" w:hAnsi="Times New Roman"/>
          <w:color w:val="000000"/>
          <w:lang w:val="pt-BR"/>
        </w:rPr>
        <w:t xml:space="preserve">Código de Processo Civil </w:t>
      </w:r>
    </w:p>
    <w:p w14:paraId="6574BE71" w14:textId="77777777" w:rsidR="0027667F" w:rsidRPr="0027667F" w:rsidRDefault="0027667F" w:rsidP="00662E49">
      <w:pPr>
        <w:pStyle w:val="Style3"/>
        <w:widowControl/>
        <w:spacing w:after="60" w:line="360" w:lineRule="auto"/>
        <w:rPr>
          <w:rFonts w:ascii="Times New Roman" w:hAnsi="Times New Roman"/>
          <w:b/>
          <w:bCs/>
          <w:color w:val="000000"/>
          <w:lang w:val="pt-BR"/>
        </w:rPr>
      </w:pPr>
      <w:r w:rsidRPr="0027667F">
        <w:rPr>
          <w:rFonts w:ascii="Times New Roman" w:hAnsi="Times New Roman"/>
          <w:b/>
          <w:bCs/>
          <w:color w:val="000000"/>
          <w:lang w:val="pt-BR"/>
        </w:rPr>
        <w:t>PMA</w:t>
      </w:r>
      <w:r>
        <w:rPr>
          <w:rFonts w:ascii="Times New Roman" w:hAnsi="Times New Roman"/>
          <w:b/>
          <w:bCs/>
          <w:color w:val="000000"/>
          <w:lang w:val="pt-BR"/>
        </w:rPr>
        <w:tab/>
        <w:t xml:space="preserve">            -</w:t>
      </w:r>
      <w:r w:rsidRPr="0027667F">
        <w:rPr>
          <w:rFonts w:ascii="Times New Roman" w:hAnsi="Times New Roman"/>
          <w:color w:val="000000"/>
          <w:lang w:val="pt-BR"/>
        </w:rPr>
        <w:t xml:space="preserve"> Procriação medicamente assistida</w:t>
      </w:r>
    </w:p>
    <w:p w14:paraId="4ABAD482" w14:textId="77777777" w:rsidR="00662E49" w:rsidRPr="00662E49" w:rsidRDefault="00662E49" w:rsidP="00662E49">
      <w:pPr>
        <w:pStyle w:val="Style3"/>
        <w:widowControl/>
        <w:spacing w:after="60" w:line="360" w:lineRule="auto"/>
        <w:rPr>
          <w:rStyle w:val="FontStyle14"/>
          <w:rFonts w:ascii="Times New Roman" w:hAnsi="Times New Roman" w:cs="Times New Roman"/>
          <w:color w:val="000000"/>
          <w:sz w:val="24"/>
          <w:szCs w:val="24"/>
          <w:lang w:val="pt-BR"/>
        </w:rPr>
      </w:pPr>
      <w:r w:rsidRPr="00662E49">
        <w:rPr>
          <w:rStyle w:val="FontStyle14"/>
          <w:rFonts w:ascii="Times New Roman" w:hAnsi="Times New Roman" w:cs="Times New Roman"/>
          <w:b/>
          <w:color w:val="000000"/>
          <w:sz w:val="24"/>
          <w:szCs w:val="24"/>
          <w:lang w:val="pt-BR"/>
        </w:rPr>
        <w:t>STF</w:t>
      </w:r>
      <w:r w:rsidRPr="00662E49">
        <w:rPr>
          <w:rStyle w:val="FontStyle14"/>
          <w:rFonts w:ascii="Times New Roman" w:hAnsi="Times New Roman" w:cs="Times New Roman"/>
          <w:color w:val="000000"/>
          <w:sz w:val="24"/>
          <w:szCs w:val="24"/>
          <w:lang w:val="pt-BR"/>
        </w:rPr>
        <w:t xml:space="preserve"> </w:t>
      </w:r>
      <w:r w:rsidRPr="00662E49">
        <w:rPr>
          <w:rStyle w:val="FontStyle14"/>
          <w:rFonts w:ascii="Times New Roman" w:hAnsi="Times New Roman" w:cs="Times New Roman"/>
          <w:color w:val="000000"/>
          <w:sz w:val="24"/>
          <w:szCs w:val="24"/>
          <w:lang w:val="pt-BR"/>
        </w:rPr>
        <w:tab/>
      </w:r>
      <w:r w:rsidRPr="00662E49">
        <w:rPr>
          <w:rStyle w:val="FontStyle14"/>
          <w:rFonts w:ascii="Times New Roman" w:hAnsi="Times New Roman" w:cs="Times New Roman"/>
          <w:color w:val="000000"/>
          <w:sz w:val="24"/>
          <w:szCs w:val="24"/>
          <w:lang w:val="pt-BR"/>
        </w:rPr>
        <w:tab/>
        <w:t>- Supremo Tribunal Federal</w:t>
      </w:r>
    </w:p>
    <w:p w14:paraId="7C7768CC" w14:textId="77777777" w:rsidR="00662E49" w:rsidRPr="00662E49" w:rsidRDefault="00662E49" w:rsidP="00662E49">
      <w:pPr>
        <w:pStyle w:val="Style3"/>
        <w:widowControl/>
        <w:spacing w:after="60" w:line="360" w:lineRule="auto"/>
        <w:rPr>
          <w:rStyle w:val="FontStyle14"/>
          <w:rFonts w:ascii="Times New Roman" w:hAnsi="Times New Roman" w:cs="Times New Roman"/>
          <w:color w:val="000000"/>
          <w:sz w:val="24"/>
          <w:szCs w:val="24"/>
          <w:lang w:val="pt-BR"/>
        </w:rPr>
      </w:pPr>
      <w:r w:rsidRPr="00662E49">
        <w:rPr>
          <w:rStyle w:val="FontStyle14"/>
          <w:rFonts w:ascii="Times New Roman" w:hAnsi="Times New Roman" w:cs="Times New Roman"/>
          <w:b/>
          <w:color w:val="000000"/>
          <w:sz w:val="24"/>
          <w:szCs w:val="24"/>
          <w:lang w:val="pt-BR"/>
        </w:rPr>
        <w:t>STJ</w:t>
      </w:r>
      <w:r w:rsidRPr="00662E49">
        <w:rPr>
          <w:rStyle w:val="FontStyle14"/>
          <w:rFonts w:ascii="Times New Roman" w:hAnsi="Times New Roman" w:cs="Times New Roman"/>
          <w:color w:val="000000"/>
          <w:sz w:val="24"/>
          <w:szCs w:val="24"/>
          <w:lang w:val="pt-BR"/>
        </w:rPr>
        <w:t xml:space="preserve"> </w:t>
      </w:r>
      <w:r w:rsidRPr="00662E49">
        <w:rPr>
          <w:rStyle w:val="FontStyle14"/>
          <w:rFonts w:ascii="Times New Roman" w:hAnsi="Times New Roman" w:cs="Times New Roman"/>
          <w:color w:val="000000"/>
          <w:sz w:val="24"/>
          <w:szCs w:val="24"/>
          <w:lang w:val="pt-BR"/>
        </w:rPr>
        <w:tab/>
      </w:r>
      <w:r w:rsidRPr="00662E49">
        <w:rPr>
          <w:rStyle w:val="FontStyle14"/>
          <w:rFonts w:ascii="Times New Roman" w:hAnsi="Times New Roman" w:cs="Times New Roman"/>
          <w:color w:val="000000"/>
          <w:sz w:val="24"/>
          <w:szCs w:val="24"/>
          <w:lang w:val="pt-BR"/>
        </w:rPr>
        <w:tab/>
        <w:t>- Superior Tribunal de Justiça</w:t>
      </w:r>
    </w:p>
    <w:p w14:paraId="0BFC57B1" w14:textId="77777777" w:rsidR="00662E49" w:rsidRPr="00662E49" w:rsidRDefault="00662E49" w:rsidP="00662E49">
      <w:pPr>
        <w:pStyle w:val="Style3"/>
        <w:widowControl/>
        <w:spacing w:after="60" w:line="360" w:lineRule="auto"/>
        <w:rPr>
          <w:rStyle w:val="FontStyle14"/>
          <w:rFonts w:ascii="Times New Roman" w:hAnsi="Times New Roman" w:cs="Times New Roman"/>
          <w:color w:val="000000"/>
          <w:sz w:val="24"/>
          <w:szCs w:val="24"/>
          <w:lang w:val="pt-BR"/>
        </w:rPr>
      </w:pPr>
      <w:r w:rsidRPr="00662E49">
        <w:rPr>
          <w:rStyle w:val="FontStyle14"/>
          <w:rFonts w:ascii="Times New Roman" w:hAnsi="Times New Roman" w:cs="Times New Roman"/>
          <w:b/>
          <w:color w:val="000000"/>
          <w:sz w:val="24"/>
          <w:szCs w:val="24"/>
          <w:lang w:val="pt-BR"/>
        </w:rPr>
        <w:t>TJ</w:t>
      </w:r>
      <w:r w:rsidRPr="00662E49">
        <w:rPr>
          <w:rStyle w:val="FontStyle14"/>
          <w:rFonts w:ascii="Times New Roman" w:hAnsi="Times New Roman" w:cs="Times New Roman"/>
          <w:color w:val="000000"/>
          <w:sz w:val="24"/>
          <w:szCs w:val="24"/>
          <w:lang w:val="pt-BR"/>
        </w:rPr>
        <w:t xml:space="preserve"> </w:t>
      </w:r>
      <w:r w:rsidRPr="00662E49">
        <w:rPr>
          <w:rStyle w:val="FontStyle14"/>
          <w:rFonts w:ascii="Times New Roman" w:hAnsi="Times New Roman" w:cs="Times New Roman"/>
          <w:color w:val="000000"/>
          <w:sz w:val="24"/>
          <w:szCs w:val="24"/>
          <w:lang w:val="pt-BR"/>
        </w:rPr>
        <w:tab/>
      </w:r>
      <w:r w:rsidRPr="00662E49">
        <w:rPr>
          <w:rStyle w:val="FontStyle14"/>
          <w:rFonts w:ascii="Times New Roman" w:hAnsi="Times New Roman" w:cs="Times New Roman"/>
          <w:color w:val="000000"/>
          <w:sz w:val="24"/>
          <w:szCs w:val="24"/>
          <w:lang w:val="pt-BR"/>
        </w:rPr>
        <w:tab/>
        <w:t>- Tribunal de Justiça</w:t>
      </w:r>
    </w:p>
    <w:p w14:paraId="6ABCE542" w14:textId="77777777" w:rsidR="00662E49" w:rsidRPr="00662E49" w:rsidRDefault="00662E49" w:rsidP="00662E49">
      <w:pPr>
        <w:pStyle w:val="Style3"/>
        <w:widowControl/>
        <w:spacing w:after="60" w:line="360" w:lineRule="auto"/>
        <w:rPr>
          <w:rStyle w:val="FontStyle14"/>
          <w:rFonts w:ascii="Times New Roman" w:hAnsi="Times New Roman" w:cs="Times New Roman"/>
          <w:i/>
          <w:color w:val="000000"/>
          <w:sz w:val="24"/>
          <w:szCs w:val="24"/>
          <w:lang w:val="pt-BR"/>
        </w:rPr>
      </w:pPr>
      <w:r w:rsidRPr="00662E49">
        <w:rPr>
          <w:rStyle w:val="FontStyle14"/>
          <w:rFonts w:ascii="Times New Roman" w:hAnsi="Times New Roman" w:cs="Times New Roman"/>
          <w:b/>
          <w:i/>
          <w:color w:val="000000"/>
          <w:sz w:val="24"/>
          <w:szCs w:val="24"/>
          <w:lang w:val="pt-BR"/>
        </w:rPr>
        <w:t>v.g</w:t>
      </w:r>
      <w:r w:rsidRPr="00662E49">
        <w:rPr>
          <w:rStyle w:val="FontStyle14"/>
          <w:rFonts w:ascii="Times New Roman" w:hAnsi="Times New Roman" w:cs="Times New Roman"/>
          <w:i/>
          <w:color w:val="000000"/>
          <w:sz w:val="24"/>
          <w:szCs w:val="24"/>
          <w:lang w:val="pt-BR"/>
        </w:rPr>
        <w:t>.</w:t>
      </w:r>
      <w:r w:rsidRPr="00662E49">
        <w:rPr>
          <w:rStyle w:val="FontStyle14"/>
          <w:rFonts w:ascii="Times New Roman" w:hAnsi="Times New Roman" w:cs="Times New Roman"/>
          <w:color w:val="000000"/>
          <w:sz w:val="24"/>
          <w:szCs w:val="24"/>
          <w:lang w:val="pt-BR"/>
        </w:rPr>
        <w:t xml:space="preserve"> </w:t>
      </w:r>
      <w:r w:rsidRPr="00662E49">
        <w:rPr>
          <w:rStyle w:val="FontStyle14"/>
          <w:rFonts w:ascii="Times New Roman" w:hAnsi="Times New Roman" w:cs="Times New Roman"/>
          <w:color w:val="000000"/>
          <w:sz w:val="24"/>
          <w:szCs w:val="24"/>
          <w:lang w:val="pt-BR"/>
        </w:rPr>
        <w:tab/>
      </w:r>
      <w:r w:rsidRPr="00662E49">
        <w:rPr>
          <w:rStyle w:val="FontStyle14"/>
          <w:rFonts w:ascii="Times New Roman" w:hAnsi="Times New Roman" w:cs="Times New Roman"/>
          <w:color w:val="000000"/>
          <w:sz w:val="24"/>
          <w:szCs w:val="24"/>
          <w:lang w:val="pt-BR"/>
        </w:rPr>
        <w:tab/>
        <w:t xml:space="preserve">- </w:t>
      </w:r>
      <w:proofErr w:type="gramStart"/>
      <w:r w:rsidRPr="00662E49">
        <w:rPr>
          <w:rStyle w:val="FontStyle14"/>
          <w:rFonts w:ascii="Times New Roman" w:hAnsi="Times New Roman" w:cs="Times New Roman"/>
          <w:i/>
          <w:color w:val="000000"/>
          <w:sz w:val="24"/>
          <w:szCs w:val="24"/>
          <w:lang w:val="pt-BR"/>
        </w:rPr>
        <w:t>verbi</w:t>
      </w:r>
      <w:proofErr w:type="gramEnd"/>
      <w:r w:rsidRPr="00662E49">
        <w:rPr>
          <w:rStyle w:val="FontStyle14"/>
          <w:rFonts w:ascii="Times New Roman" w:hAnsi="Times New Roman" w:cs="Times New Roman"/>
          <w:i/>
          <w:color w:val="000000"/>
          <w:sz w:val="24"/>
          <w:szCs w:val="24"/>
          <w:lang w:val="pt-BR"/>
        </w:rPr>
        <w:t xml:space="preserve"> gratia</w:t>
      </w:r>
    </w:p>
    <w:p w14:paraId="6BB40B83" w14:textId="77777777" w:rsidR="00662E49" w:rsidRPr="00662E49" w:rsidRDefault="00662E49" w:rsidP="00662E49">
      <w:pPr>
        <w:spacing w:line="240" w:lineRule="auto"/>
        <w:rPr>
          <w:rFonts w:cs="Times New Roman"/>
          <w:b w:val="0"/>
          <w:color w:val="000000" w:themeColor="text1"/>
          <w:lang w:val="en-US"/>
        </w:rPr>
      </w:pPr>
    </w:p>
    <w:p w14:paraId="752A8810" w14:textId="77777777" w:rsidR="00662E49" w:rsidRPr="00662E49" w:rsidRDefault="00662E49" w:rsidP="00662E49">
      <w:pPr>
        <w:spacing w:line="240" w:lineRule="auto"/>
        <w:rPr>
          <w:rFonts w:cs="Times New Roman"/>
          <w:b w:val="0"/>
          <w:color w:val="000000" w:themeColor="text1"/>
          <w:lang w:val="en-US"/>
        </w:rPr>
      </w:pPr>
    </w:p>
    <w:p w14:paraId="7BB2C82B" w14:textId="77777777" w:rsidR="00662E49" w:rsidRPr="00662E49" w:rsidRDefault="00662E49" w:rsidP="009D22E8">
      <w:pPr>
        <w:rPr>
          <w:rFonts w:cs="Times New Roman"/>
          <w:b w:val="0"/>
          <w:bCs/>
        </w:rPr>
      </w:pPr>
    </w:p>
    <w:p w14:paraId="14B60B4A" w14:textId="77777777" w:rsidR="00130256" w:rsidRDefault="00130256" w:rsidP="009D22E8">
      <w:pPr>
        <w:rPr>
          <w:rFonts w:cs="Times New Roman"/>
          <w:b w:val="0"/>
          <w:bCs/>
        </w:rPr>
      </w:pPr>
    </w:p>
    <w:p w14:paraId="26DBDE7D" w14:textId="77777777" w:rsidR="004B07D3" w:rsidRDefault="004B07D3" w:rsidP="009D22E8">
      <w:pPr>
        <w:rPr>
          <w:rFonts w:cs="Times New Roman"/>
          <w:b w:val="0"/>
          <w:bCs/>
        </w:rPr>
      </w:pPr>
    </w:p>
    <w:p w14:paraId="5BF33B9F" w14:textId="77777777" w:rsidR="004B07D3" w:rsidRDefault="004B07D3" w:rsidP="009D22E8">
      <w:pPr>
        <w:rPr>
          <w:rFonts w:cs="Times New Roman"/>
          <w:b w:val="0"/>
          <w:bCs/>
        </w:rPr>
      </w:pPr>
    </w:p>
    <w:p w14:paraId="1D433747" w14:textId="77777777" w:rsidR="004B07D3" w:rsidRDefault="004B07D3" w:rsidP="009D22E8">
      <w:pPr>
        <w:rPr>
          <w:rFonts w:cs="Times New Roman"/>
          <w:b w:val="0"/>
          <w:bCs/>
        </w:rPr>
      </w:pPr>
    </w:p>
    <w:p w14:paraId="36AC6394" w14:textId="77777777" w:rsidR="004B07D3" w:rsidRDefault="004B07D3" w:rsidP="009D22E8">
      <w:pPr>
        <w:rPr>
          <w:rFonts w:cs="Times New Roman"/>
          <w:b w:val="0"/>
          <w:bCs/>
        </w:rPr>
      </w:pPr>
    </w:p>
    <w:p w14:paraId="0E74F4DE" w14:textId="77777777" w:rsidR="004B07D3" w:rsidRDefault="004B07D3" w:rsidP="009D22E8">
      <w:pPr>
        <w:rPr>
          <w:rFonts w:cs="Times New Roman"/>
          <w:b w:val="0"/>
          <w:bCs/>
        </w:rPr>
      </w:pPr>
    </w:p>
    <w:p w14:paraId="37E2A2CB" w14:textId="77777777" w:rsidR="004B07D3" w:rsidRDefault="004B07D3" w:rsidP="009D22E8">
      <w:pPr>
        <w:rPr>
          <w:rFonts w:cs="Times New Roman"/>
          <w:b w:val="0"/>
          <w:bCs/>
        </w:rPr>
      </w:pPr>
    </w:p>
    <w:p w14:paraId="0C8C1DCA" w14:textId="77777777" w:rsidR="004B07D3" w:rsidRDefault="004B07D3" w:rsidP="009D22E8">
      <w:pPr>
        <w:rPr>
          <w:rFonts w:cs="Times New Roman"/>
          <w:b w:val="0"/>
          <w:bCs/>
        </w:rPr>
      </w:pPr>
    </w:p>
    <w:p w14:paraId="4B7B2A45" w14:textId="77777777" w:rsidR="004B07D3" w:rsidRDefault="004B07D3" w:rsidP="009D22E8">
      <w:pPr>
        <w:rPr>
          <w:rFonts w:cs="Times New Roman"/>
          <w:b w:val="0"/>
          <w:bCs/>
        </w:rPr>
      </w:pPr>
    </w:p>
    <w:p w14:paraId="4F1184BD" w14:textId="77777777" w:rsidR="000241FB" w:rsidRDefault="000241FB" w:rsidP="009D22E8">
      <w:pPr>
        <w:rPr>
          <w:rFonts w:cs="Times New Roman"/>
          <w:b w:val="0"/>
          <w:bCs/>
        </w:rPr>
      </w:pPr>
    </w:p>
    <w:p w14:paraId="6E1E212C" w14:textId="77777777" w:rsidR="00553DB9" w:rsidRDefault="00553DB9">
      <w:pPr>
        <w:rPr>
          <w:rFonts w:cs="Times New Roman"/>
          <w:b w:val="0"/>
          <w:bCs/>
        </w:rPr>
      </w:pPr>
      <w:r>
        <w:rPr>
          <w:rFonts w:cs="Times New Roman"/>
          <w:b w:val="0"/>
          <w:bCs/>
        </w:rPr>
        <w:br w:type="page"/>
      </w:r>
    </w:p>
    <w:p w14:paraId="14EB7F03" w14:textId="77777777" w:rsidR="004B07D3" w:rsidRDefault="004B07D3" w:rsidP="004B07D3">
      <w:pPr>
        <w:pStyle w:val="Ttulo1"/>
        <w:numPr>
          <w:ilvl w:val="0"/>
          <w:numId w:val="0"/>
        </w:numPr>
        <w:rPr>
          <w:color w:val="000000" w:themeColor="text1"/>
          <w:szCs w:val="24"/>
        </w:rPr>
      </w:pPr>
      <w:bookmarkStart w:id="14" w:name="_Toc28034636"/>
      <w:r w:rsidRPr="00C5742D">
        <w:rPr>
          <w:color w:val="000000" w:themeColor="text1"/>
          <w:szCs w:val="24"/>
        </w:rPr>
        <w:t>INTRODUÇÃO</w:t>
      </w:r>
      <w:bookmarkEnd w:id="14"/>
    </w:p>
    <w:p w14:paraId="29744A77" w14:textId="77777777" w:rsidR="00ED11AF" w:rsidRDefault="00ED11AF" w:rsidP="00ED11AF"/>
    <w:p w14:paraId="6D598FCB" w14:textId="0659C71A" w:rsidR="00655F73" w:rsidRPr="00655F73" w:rsidRDefault="00655F73" w:rsidP="00655F73">
      <w:pPr>
        <w:rPr>
          <w:rFonts w:cs="Times New Roman"/>
          <w:b w:val="0"/>
          <w:bCs/>
        </w:rPr>
      </w:pPr>
      <w:r w:rsidRPr="00655F73">
        <w:rPr>
          <w:rFonts w:cs="Times New Roman"/>
          <w:b w:val="0"/>
          <w:bCs/>
        </w:rPr>
        <w:t>As constantes mudanças na sociedade contemporânea impactam de maneira célere no desenvolvimento da</w:t>
      </w:r>
      <w:r w:rsidR="00F23716">
        <w:rPr>
          <w:rFonts w:cs="Times New Roman"/>
          <w:b w:val="0"/>
          <w:bCs/>
        </w:rPr>
        <w:t xml:space="preserve">s </w:t>
      </w:r>
      <w:r w:rsidRPr="00655F73">
        <w:rPr>
          <w:rFonts w:cs="Times New Roman"/>
          <w:b w:val="0"/>
          <w:bCs/>
        </w:rPr>
        <w:t>fam</w:t>
      </w:r>
      <w:r w:rsidR="00F23716">
        <w:rPr>
          <w:rFonts w:cs="Times New Roman"/>
          <w:b w:val="0"/>
          <w:bCs/>
        </w:rPr>
        <w:t>ílias</w:t>
      </w:r>
      <w:r w:rsidRPr="00655F73">
        <w:rPr>
          <w:rFonts w:cs="Times New Roman"/>
          <w:b w:val="0"/>
          <w:bCs/>
        </w:rPr>
        <w:t>, que v</w:t>
      </w:r>
      <w:r w:rsidR="00E9387C">
        <w:rPr>
          <w:rFonts w:cs="Times New Roman"/>
          <w:b w:val="0"/>
          <w:bCs/>
        </w:rPr>
        <w:t>ê</w:t>
      </w:r>
      <w:r w:rsidRPr="00655F73">
        <w:rPr>
          <w:rFonts w:cs="Times New Roman"/>
          <w:b w:val="0"/>
          <w:bCs/>
        </w:rPr>
        <w:t>m sofrendo várias mutações, apresentando novos modelos familiares, com base na constitucionalização do Direito Civil e com reflexos diretos no Direito de Família. O reconhecimento socioafetivo de filho é um dos resultados dessa mutação, que traz sofisticação aos novos conceitos familiares, através da reconstituição da família, como por exemplo, a figura do padrasto e da madrasta em relação a enteados, além dos filhos que poderão advir de uma nova união, heterossexual ou homossexual.</w:t>
      </w:r>
    </w:p>
    <w:p w14:paraId="1FEE5369" w14:textId="4D575C75" w:rsidR="00655F73" w:rsidRPr="00655F73" w:rsidRDefault="00655F73" w:rsidP="00655F73">
      <w:pPr>
        <w:rPr>
          <w:rFonts w:cs="Times New Roman"/>
          <w:b w:val="0"/>
          <w:bCs/>
        </w:rPr>
      </w:pPr>
      <w:r w:rsidRPr="00655F73">
        <w:rPr>
          <w:rFonts w:cs="Times New Roman"/>
          <w:b w:val="0"/>
          <w:bCs/>
        </w:rPr>
        <w:t xml:space="preserve">Assim, em razão desse novo modelo familiar, e tendo em vista a relevância </w:t>
      </w:r>
      <w:r w:rsidR="00E9387C">
        <w:rPr>
          <w:rFonts w:cs="Times New Roman"/>
          <w:b w:val="0"/>
          <w:bCs/>
        </w:rPr>
        <w:t xml:space="preserve">social </w:t>
      </w:r>
      <w:r w:rsidRPr="00655F73">
        <w:rPr>
          <w:rFonts w:cs="Times New Roman"/>
          <w:b w:val="0"/>
          <w:bCs/>
        </w:rPr>
        <w:t xml:space="preserve">do tema, o presente trabalho se propõe a uma análise sobre o fenômeno jurídico do reconhecimento socioafetivo de filho nos ordenamentos jurídicos brasileiro e português, possibilitando a maior compreensão de como é estabelecido esse tipo de filiação nesses dois sistemas. Far-se-á um estudo comparado de como essa nova forma de reconhecimento de filiação ocorre perante as legislações brasileira e portuguesa. </w:t>
      </w:r>
    </w:p>
    <w:p w14:paraId="1502B5F1" w14:textId="3ECA34D1" w:rsidR="00655F73" w:rsidRPr="00655F73" w:rsidRDefault="00655F73" w:rsidP="00655F73">
      <w:pPr>
        <w:rPr>
          <w:rFonts w:cs="Times New Roman"/>
          <w:b w:val="0"/>
          <w:bCs/>
        </w:rPr>
      </w:pPr>
      <w:r w:rsidRPr="00655F73">
        <w:rPr>
          <w:rFonts w:cs="Times New Roman"/>
          <w:b w:val="0"/>
          <w:bCs/>
        </w:rPr>
        <w:t xml:space="preserve">Nesses termos, o objeto da pesquisa é o reconhecimento socioafetivo de filho no Direito luso-brasileiro como uma nova forma de constituição de família. Dentro desse tema, tem-se o intuito de compreender como se procede ao reconhecimento socioafetivo de filho no Brasil e em Portugal. Especificamente no Brasil, há mais de uma </w:t>
      </w:r>
      <w:r w:rsidR="00F02732">
        <w:rPr>
          <w:rFonts w:cs="Times New Roman"/>
          <w:b w:val="0"/>
          <w:bCs/>
        </w:rPr>
        <w:t xml:space="preserve">opção </w:t>
      </w:r>
      <w:r w:rsidR="001B3B5A">
        <w:rPr>
          <w:rFonts w:cs="Times New Roman"/>
          <w:b w:val="0"/>
          <w:bCs/>
        </w:rPr>
        <w:t xml:space="preserve">para o </w:t>
      </w:r>
      <w:r w:rsidRPr="00655F73">
        <w:rPr>
          <w:rFonts w:cs="Times New Roman"/>
          <w:b w:val="0"/>
          <w:bCs/>
        </w:rPr>
        <w:t xml:space="preserve">estabelecimento do vínculo socioafetivo entre pai e filho, sendo possível a utilização da via judicial ou extrajudicial. </w:t>
      </w:r>
    </w:p>
    <w:p w14:paraId="240AAD61" w14:textId="03B6C36E" w:rsidR="00655F73" w:rsidRPr="00655F73" w:rsidRDefault="00655F73" w:rsidP="00655F73">
      <w:pPr>
        <w:rPr>
          <w:rFonts w:cs="Times New Roman"/>
          <w:b w:val="0"/>
          <w:bCs/>
        </w:rPr>
      </w:pPr>
      <w:r w:rsidRPr="00655F73">
        <w:rPr>
          <w:rFonts w:cs="Times New Roman"/>
          <w:b w:val="0"/>
          <w:bCs/>
        </w:rPr>
        <w:t xml:space="preserve">Já em Portugal, em razão de vigorar o Sistema Biologista, e de preponderar o Princípio da verdade biológica e o princípio da taxatividade dos meios de estabelecer a filiação, não há qualquer legislação que ampare o estabelecimento da paternidade socioafetiva. Assim, essa forma de fixação de paternidade não é possível tanto na esfera judicial quanto na extrajudicial. No entanto, verificamos uma </w:t>
      </w:r>
      <w:r w:rsidR="009D17FB">
        <w:rPr>
          <w:rFonts w:cs="Times New Roman"/>
          <w:b w:val="0"/>
          <w:bCs/>
        </w:rPr>
        <w:t>alteração</w:t>
      </w:r>
      <w:r w:rsidRPr="00655F73">
        <w:rPr>
          <w:rFonts w:cs="Times New Roman"/>
          <w:b w:val="0"/>
          <w:bCs/>
        </w:rPr>
        <w:t xml:space="preserve"> de paradigma em Portugal, em razão da mudança sociocultural pelo que passa o país</w:t>
      </w:r>
      <w:r w:rsidR="00250D6D">
        <w:rPr>
          <w:rFonts w:cs="Times New Roman"/>
          <w:b w:val="0"/>
          <w:bCs/>
        </w:rPr>
        <w:t>. Além disso,</w:t>
      </w:r>
      <w:r w:rsidRPr="00655F73">
        <w:rPr>
          <w:rFonts w:cs="Times New Roman"/>
          <w:b w:val="0"/>
          <w:bCs/>
        </w:rPr>
        <w:t xml:space="preserve"> o Sistema Biologista, bem como os princípios mencionados passam por derrogações, sendo possível observar casos em que o legislador</w:t>
      </w:r>
      <w:r w:rsidR="00250D6D">
        <w:rPr>
          <w:rFonts w:cs="Times New Roman"/>
          <w:b w:val="0"/>
          <w:bCs/>
        </w:rPr>
        <w:t xml:space="preserve"> </w:t>
      </w:r>
      <w:r w:rsidRPr="00655F73">
        <w:rPr>
          <w:rFonts w:cs="Times New Roman"/>
          <w:b w:val="0"/>
          <w:bCs/>
        </w:rPr>
        <w:t xml:space="preserve">regulamenta essas situações em que há apenas a existência da socioafetividade, como o caso da adoção plena.  </w:t>
      </w:r>
    </w:p>
    <w:p w14:paraId="48AA1903" w14:textId="41ABF528" w:rsidR="00655F73" w:rsidRPr="00655F73" w:rsidRDefault="00655F73" w:rsidP="00655F73">
      <w:pPr>
        <w:rPr>
          <w:rFonts w:cs="Times New Roman"/>
          <w:b w:val="0"/>
          <w:bCs/>
        </w:rPr>
      </w:pPr>
      <w:r w:rsidRPr="00655F73">
        <w:rPr>
          <w:rFonts w:cs="Times New Roman"/>
          <w:b w:val="0"/>
          <w:bCs/>
        </w:rPr>
        <w:t xml:space="preserve">Objetiva-se, então, investigar </w:t>
      </w:r>
      <w:r w:rsidR="0090382A">
        <w:rPr>
          <w:rFonts w:cs="Times New Roman"/>
          <w:b w:val="0"/>
          <w:bCs/>
        </w:rPr>
        <w:t xml:space="preserve">quais </w:t>
      </w:r>
      <w:r w:rsidRPr="00655F73">
        <w:rPr>
          <w:rFonts w:cs="Times New Roman"/>
          <w:b w:val="0"/>
          <w:bCs/>
        </w:rPr>
        <w:t xml:space="preserve">são as alternativas previstas em lei aos interessados no reconhecimento socioafetivo de filho nesses dois países. </w:t>
      </w:r>
    </w:p>
    <w:p w14:paraId="45A852A4" w14:textId="77777777" w:rsidR="00B825C2" w:rsidRDefault="00655F73" w:rsidP="00655F73">
      <w:pPr>
        <w:rPr>
          <w:rFonts w:cs="Times New Roman"/>
          <w:b w:val="0"/>
          <w:bCs/>
        </w:rPr>
      </w:pPr>
      <w:r w:rsidRPr="00655F73">
        <w:rPr>
          <w:rFonts w:cs="Times New Roman"/>
          <w:b w:val="0"/>
          <w:bCs/>
        </w:rPr>
        <w:t>No Brasil, anteriormente a toda essa mudança social e jurídica acerca do conceito de família, concebia-se o reconhecimento de filho apenas aos casos em que h</w:t>
      </w:r>
      <w:r w:rsidR="00DA3710">
        <w:rPr>
          <w:rFonts w:cs="Times New Roman"/>
          <w:b w:val="0"/>
          <w:bCs/>
        </w:rPr>
        <w:t xml:space="preserve">ouvesse </w:t>
      </w:r>
      <w:r w:rsidRPr="00655F73">
        <w:rPr>
          <w:rFonts w:cs="Times New Roman"/>
          <w:b w:val="0"/>
          <w:bCs/>
        </w:rPr>
        <w:t xml:space="preserve">uma ligação biológica </w:t>
      </w:r>
      <w:r w:rsidR="00DA3710">
        <w:rPr>
          <w:rFonts w:cs="Times New Roman"/>
          <w:b w:val="0"/>
          <w:bCs/>
        </w:rPr>
        <w:t xml:space="preserve">entre </w:t>
      </w:r>
      <w:r w:rsidRPr="00655F73">
        <w:rPr>
          <w:rFonts w:cs="Times New Roman"/>
          <w:b w:val="0"/>
          <w:bCs/>
        </w:rPr>
        <w:t>pai</w:t>
      </w:r>
      <w:r w:rsidR="00DA3710">
        <w:rPr>
          <w:rFonts w:cs="Times New Roman"/>
          <w:b w:val="0"/>
          <w:bCs/>
        </w:rPr>
        <w:t xml:space="preserve"> e filho</w:t>
      </w:r>
      <w:r w:rsidRPr="00655F73">
        <w:rPr>
          <w:rFonts w:cs="Times New Roman"/>
          <w:b w:val="0"/>
          <w:bCs/>
        </w:rPr>
        <w:t>. Prestigiava-se a formação da família aos entes ligados pelos laços de sangue. Mais adiante, houve a ampliação do conceito de entidade familiar pelo Código Civil, o que possibilitou a proteção legal das novas formas de família, principalmente àquelas em que seus integrantes e</w:t>
      </w:r>
      <w:r w:rsidR="002718B8">
        <w:rPr>
          <w:rFonts w:cs="Times New Roman"/>
          <w:b w:val="0"/>
          <w:bCs/>
        </w:rPr>
        <w:t>ram</w:t>
      </w:r>
      <w:r w:rsidRPr="00655F73">
        <w:rPr>
          <w:rFonts w:cs="Times New Roman"/>
          <w:b w:val="0"/>
          <w:bCs/>
        </w:rPr>
        <w:t xml:space="preserve"> ligados</w:t>
      </w:r>
      <w:r w:rsidR="002718B8">
        <w:rPr>
          <w:rFonts w:cs="Times New Roman"/>
          <w:b w:val="0"/>
          <w:bCs/>
        </w:rPr>
        <w:t xml:space="preserve"> </w:t>
      </w:r>
      <w:r w:rsidRPr="00655F73">
        <w:rPr>
          <w:rFonts w:cs="Times New Roman"/>
          <w:b w:val="0"/>
          <w:bCs/>
        </w:rPr>
        <w:t xml:space="preserve">pelo “afeto”. </w:t>
      </w:r>
    </w:p>
    <w:p w14:paraId="408E5976" w14:textId="066639AB" w:rsidR="00655F73" w:rsidRPr="00655F73" w:rsidRDefault="00655F73" w:rsidP="00655F73">
      <w:pPr>
        <w:rPr>
          <w:rFonts w:cs="Times New Roman"/>
          <w:b w:val="0"/>
          <w:bCs/>
        </w:rPr>
      </w:pPr>
      <w:r w:rsidRPr="00655F73">
        <w:rPr>
          <w:rFonts w:cs="Times New Roman"/>
          <w:b w:val="0"/>
          <w:bCs/>
        </w:rPr>
        <w:t>A socioafetividade obteve maior preponderância na formação das relações familiares, não se levando mais em consideração apenas o critério biológico. D</w:t>
      </w:r>
      <w:r w:rsidR="00B825C2">
        <w:rPr>
          <w:rFonts w:cs="Times New Roman"/>
          <w:b w:val="0"/>
          <w:bCs/>
        </w:rPr>
        <w:t xml:space="preserve">o </w:t>
      </w:r>
      <w:r w:rsidRPr="00655F73">
        <w:rPr>
          <w:rFonts w:cs="Times New Roman"/>
          <w:b w:val="0"/>
          <w:bCs/>
        </w:rPr>
        <w:t>mesm</w:t>
      </w:r>
      <w:r w:rsidR="00B825C2">
        <w:rPr>
          <w:rFonts w:cs="Times New Roman"/>
          <w:b w:val="0"/>
          <w:bCs/>
        </w:rPr>
        <w:t>o modo</w:t>
      </w:r>
      <w:r w:rsidRPr="00655F73">
        <w:rPr>
          <w:rFonts w:cs="Times New Roman"/>
          <w:b w:val="0"/>
          <w:bCs/>
        </w:rPr>
        <w:t>, essa nova entidade familiar também ganha força em Portugal, especialmente nas situações de reconhecimentos de filho, como fica evidenciado com a iniciativa da Petição n° 451/XIII/3ª</w:t>
      </w:r>
      <w:r w:rsidR="0088155A">
        <w:rPr>
          <w:rFonts w:cs="Times New Roman"/>
          <w:b w:val="0"/>
          <w:bCs/>
        </w:rPr>
        <w:t>. Mencionada petição</w:t>
      </w:r>
      <w:r w:rsidRPr="00655F73">
        <w:rPr>
          <w:rFonts w:cs="Times New Roman"/>
          <w:b w:val="0"/>
          <w:bCs/>
        </w:rPr>
        <w:t xml:space="preserve"> solicita à Assembleia da República Portuguesa uma legislação sobre a parentalidade socioafetiva, e </w:t>
      </w:r>
      <w:r w:rsidR="0088155A">
        <w:rPr>
          <w:rFonts w:cs="Times New Roman"/>
          <w:b w:val="0"/>
          <w:bCs/>
        </w:rPr>
        <w:t xml:space="preserve">será </w:t>
      </w:r>
      <w:r w:rsidRPr="00655F73">
        <w:rPr>
          <w:rFonts w:cs="Times New Roman"/>
          <w:b w:val="0"/>
          <w:bCs/>
        </w:rPr>
        <w:t>estudada</w:t>
      </w:r>
      <w:r w:rsidR="0088155A">
        <w:rPr>
          <w:rFonts w:cs="Times New Roman"/>
          <w:b w:val="0"/>
          <w:bCs/>
        </w:rPr>
        <w:t xml:space="preserve"> de forma mais aprofundada</w:t>
      </w:r>
      <w:r w:rsidRPr="00655F73">
        <w:rPr>
          <w:rFonts w:cs="Times New Roman"/>
          <w:b w:val="0"/>
          <w:bCs/>
        </w:rPr>
        <w:t xml:space="preserve"> no terceiro capítulo do presente trabalho.</w:t>
      </w:r>
    </w:p>
    <w:p w14:paraId="300AE7BF" w14:textId="7A272F27" w:rsidR="00655F73" w:rsidRPr="00655F73" w:rsidRDefault="00655F73" w:rsidP="00655F73">
      <w:pPr>
        <w:rPr>
          <w:rFonts w:cs="Times New Roman"/>
          <w:b w:val="0"/>
          <w:bCs/>
        </w:rPr>
      </w:pPr>
      <w:r w:rsidRPr="00655F73">
        <w:rPr>
          <w:rFonts w:cs="Times New Roman"/>
          <w:b w:val="0"/>
          <w:bCs/>
        </w:rPr>
        <w:t>A família moderna erige-se alicerçada no afeto. A propósito, pai e mãe são mais aqueles que assumem esses papéis, do que aqueles determinados geneticamente que, por vezes sequer estabelecem qualquer aproximação afetiva com a prole.</w:t>
      </w:r>
    </w:p>
    <w:p w14:paraId="2D696919" w14:textId="3D605C18" w:rsidR="00655F73" w:rsidRPr="00655F73" w:rsidRDefault="00655F73" w:rsidP="00655F73">
      <w:pPr>
        <w:rPr>
          <w:rFonts w:cs="Times New Roman"/>
          <w:b w:val="0"/>
          <w:bCs/>
        </w:rPr>
      </w:pPr>
      <w:r w:rsidRPr="00655F73">
        <w:rPr>
          <w:rFonts w:cs="Times New Roman"/>
          <w:b w:val="0"/>
          <w:bCs/>
        </w:rPr>
        <w:t>A problemática do trabalho tem relação com o seguinte questionamento: como é realizado o reconhecimento socioafetivo de filho no Brasil e em Portugal, diante das legislações específicas de cada um desses países? A hipótese, então, ao seguinte problema será verificar como é o tratamento da legislação brasileira e portuguesa acerca do estabelecimento da filiação socioafetiv</w:t>
      </w:r>
      <w:r w:rsidR="00324633">
        <w:rPr>
          <w:rFonts w:cs="Times New Roman"/>
          <w:b w:val="0"/>
          <w:bCs/>
        </w:rPr>
        <w:t>a</w:t>
      </w:r>
      <w:r w:rsidRPr="00655F73">
        <w:rPr>
          <w:rFonts w:cs="Times New Roman"/>
          <w:b w:val="0"/>
          <w:bCs/>
        </w:rPr>
        <w:t xml:space="preserve">. </w:t>
      </w:r>
    </w:p>
    <w:p w14:paraId="3FF1AE56" w14:textId="2BA23DA5" w:rsidR="00655F73" w:rsidRPr="00655F73" w:rsidRDefault="00655F73" w:rsidP="00655F73">
      <w:pPr>
        <w:pStyle w:val="NormalWeb"/>
        <w:spacing w:before="0" w:beforeAutospacing="0" w:after="0" w:afterAutospacing="0" w:line="360" w:lineRule="auto"/>
        <w:rPr>
          <w:bCs/>
          <w:color w:val="000000"/>
        </w:rPr>
      </w:pPr>
      <w:r w:rsidRPr="00655F73">
        <w:rPr>
          <w:bCs/>
        </w:rPr>
        <w:t xml:space="preserve">No Brasil, diferentemente de Portugal, o reconhecimento socioafetivo de filho já é realizado tanto na via judicial quanto na extrajudicial. Assim, o reconhecimento socioafetivo é uma realidade brasileira que, além de realizado na via judicial, é praticado também perante os Registros Civis das Pessoas Naturais, denominados também de “Cartórios”. </w:t>
      </w:r>
      <w:r w:rsidR="00DF67E8">
        <w:rPr>
          <w:bCs/>
        </w:rPr>
        <w:t>A</w:t>
      </w:r>
      <w:r w:rsidRPr="00655F73">
        <w:rPr>
          <w:bCs/>
          <w:color w:val="000000"/>
        </w:rPr>
        <w:t xml:space="preserve"> nova proposta trazida pelos Cartórios é </w:t>
      </w:r>
      <w:r w:rsidR="006671B4">
        <w:rPr>
          <w:bCs/>
          <w:color w:val="000000"/>
        </w:rPr>
        <w:t>um</w:t>
      </w:r>
      <w:r w:rsidR="002D3284">
        <w:rPr>
          <w:bCs/>
          <w:color w:val="000000"/>
        </w:rPr>
        <w:t xml:space="preserve">a possibilidade </w:t>
      </w:r>
      <w:r w:rsidRPr="00655F73">
        <w:rPr>
          <w:bCs/>
          <w:color w:val="000000"/>
        </w:rPr>
        <w:t xml:space="preserve">de fixação da paternidade socioafetiva através da via extrajudicial. </w:t>
      </w:r>
      <w:r w:rsidR="00ED3373">
        <w:rPr>
          <w:bCs/>
          <w:color w:val="000000"/>
        </w:rPr>
        <w:t xml:space="preserve">Essa </w:t>
      </w:r>
      <w:r w:rsidRPr="00655F73">
        <w:rPr>
          <w:bCs/>
          <w:color w:val="000000"/>
        </w:rPr>
        <w:t>alternativa é denominada de movimento de desjudicialização, segundo o qual há atualmente a realização de determinados procedimentos pelos Cartórios, sem a necessidade de intervenção ou homologação do ato pelo Poder Judiciário, sendo que anteriormente, eram d</w:t>
      </w:r>
      <w:r w:rsidR="00ED3373">
        <w:rPr>
          <w:bCs/>
          <w:color w:val="000000"/>
        </w:rPr>
        <w:t>e</w:t>
      </w:r>
      <w:r w:rsidRPr="00655F73">
        <w:rPr>
          <w:bCs/>
          <w:color w:val="000000"/>
        </w:rPr>
        <w:t xml:space="preserve"> competência exclusiva desse poder.</w:t>
      </w:r>
    </w:p>
    <w:p w14:paraId="35B9F34F" w14:textId="77777777" w:rsidR="00655F73" w:rsidRPr="00655F73" w:rsidRDefault="00655F73" w:rsidP="00655F73">
      <w:pPr>
        <w:pStyle w:val="NormalWeb"/>
        <w:spacing w:before="0" w:beforeAutospacing="0" w:after="0" w:afterAutospacing="0" w:line="360" w:lineRule="auto"/>
        <w:rPr>
          <w:bCs/>
          <w:color w:val="000000"/>
        </w:rPr>
      </w:pPr>
      <w:r w:rsidRPr="00655F73">
        <w:rPr>
          <w:bCs/>
          <w:color w:val="000000"/>
        </w:rPr>
        <w:t>Os Registros Civis estão proporcionando a toda população brasileira uma nova alternativa, rápida e eficaz, nos termos do que preveem as novas legislações. O movimento de desjudicialização tem o intuito de transferir à via extrajudicial ou administrativa a composição de seus interesses, desde que haja consenso entre as partes.</w:t>
      </w:r>
    </w:p>
    <w:p w14:paraId="39B7DDEA" w14:textId="35D89D92" w:rsidR="00655F73" w:rsidRPr="00655F73" w:rsidRDefault="00655F73" w:rsidP="00655F73">
      <w:pPr>
        <w:rPr>
          <w:rFonts w:cs="Times New Roman"/>
          <w:b w:val="0"/>
          <w:bCs/>
        </w:rPr>
      </w:pPr>
      <w:r w:rsidRPr="00655F73">
        <w:rPr>
          <w:rFonts w:cs="Times New Roman"/>
          <w:b w:val="0"/>
          <w:bCs/>
        </w:rPr>
        <w:t>O presente estudo justifica-se por ser um assunto atual e importante, na medida em que traz uma nova forma de constituição de família</w:t>
      </w:r>
      <w:r w:rsidR="00AB5F15">
        <w:rPr>
          <w:rFonts w:cs="Times New Roman"/>
          <w:b w:val="0"/>
          <w:bCs/>
        </w:rPr>
        <w:t>. Ademais</w:t>
      </w:r>
      <w:r w:rsidRPr="00655F73">
        <w:rPr>
          <w:rFonts w:cs="Times New Roman"/>
          <w:b w:val="0"/>
          <w:bCs/>
        </w:rPr>
        <w:t>, há uma grande diferença de tratamento pelas legislações brasileira e portuguesa, em relação ao reconhecimento socioafetivo de fil</w:t>
      </w:r>
      <w:r w:rsidR="000851AE">
        <w:rPr>
          <w:rFonts w:cs="Times New Roman"/>
          <w:b w:val="0"/>
          <w:bCs/>
        </w:rPr>
        <w:t>ho</w:t>
      </w:r>
      <w:r w:rsidRPr="00655F73">
        <w:rPr>
          <w:rFonts w:cs="Times New Roman"/>
          <w:b w:val="0"/>
          <w:bCs/>
        </w:rPr>
        <w:t>.</w:t>
      </w:r>
    </w:p>
    <w:p w14:paraId="5DC92708" w14:textId="77777777" w:rsidR="00655F73" w:rsidRPr="00655F73" w:rsidRDefault="00655F73" w:rsidP="00655F73">
      <w:pPr>
        <w:pStyle w:val="NormalWeb"/>
        <w:spacing w:before="0" w:beforeAutospacing="0" w:after="0" w:afterAutospacing="0" w:line="360" w:lineRule="auto"/>
        <w:rPr>
          <w:bCs/>
          <w:color w:val="000000"/>
        </w:rPr>
      </w:pPr>
      <w:r w:rsidRPr="00655F73">
        <w:rPr>
          <w:bCs/>
          <w:color w:val="000000"/>
        </w:rPr>
        <w:t>O presente trabalho encontra-se seccionado em três capítulos.</w:t>
      </w:r>
    </w:p>
    <w:p w14:paraId="08EB539F" w14:textId="7919E528" w:rsidR="00655F73" w:rsidRPr="00655F73" w:rsidRDefault="00655F73" w:rsidP="00655F73">
      <w:pPr>
        <w:pStyle w:val="NormalWeb"/>
        <w:spacing w:before="0" w:beforeAutospacing="0" w:after="0" w:afterAutospacing="0" w:line="360" w:lineRule="auto"/>
        <w:rPr>
          <w:bCs/>
        </w:rPr>
      </w:pPr>
      <w:r w:rsidRPr="00655F73">
        <w:rPr>
          <w:bCs/>
          <w:color w:val="000000"/>
        </w:rPr>
        <w:t xml:space="preserve">No Capítulo I será feita a análise do </w:t>
      </w:r>
      <w:r w:rsidRPr="00655F73">
        <w:rPr>
          <w:bCs/>
        </w:rPr>
        <w:t xml:space="preserve">estado de filiação como um direito fundamental, e os princípios que o amparam, sendo um tópico </w:t>
      </w:r>
      <w:r w:rsidR="003352C8">
        <w:rPr>
          <w:bCs/>
        </w:rPr>
        <w:t>importante</w:t>
      </w:r>
      <w:r w:rsidRPr="00655F73">
        <w:rPr>
          <w:bCs/>
        </w:rPr>
        <w:t xml:space="preserve"> ao aprofundamento do objeto da </w:t>
      </w:r>
      <w:r w:rsidR="00A0659E">
        <w:rPr>
          <w:bCs/>
        </w:rPr>
        <w:t>investigação</w:t>
      </w:r>
      <w:r w:rsidRPr="00655F73">
        <w:rPr>
          <w:bCs/>
        </w:rPr>
        <w:t>.</w:t>
      </w:r>
    </w:p>
    <w:p w14:paraId="46F3BBF3" w14:textId="256CA128" w:rsidR="00655F73" w:rsidRPr="00655F73" w:rsidRDefault="00655F73" w:rsidP="00655F73">
      <w:pPr>
        <w:rPr>
          <w:rFonts w:cs="Times New Roman"/>
          <w:b w:val="0"/>
          <w:bCs/>
        </w:rPr>
      </w:pPr>
      <w:r w:rsidRPr="00655F73">
        <w:rPr>
          <w:rFonts w:cs="Times New Roman"/>
          <w:b w:val="0"/>
          <w:bCs/>
        </w:rPr>
        <w:t xml:space="preserve">Posteriormente, no Capítulo II adentraremos no assunto da filiação. Será abordado o conceito de filiação, bem como as modalidades existentes que abrangem tanto a filiação biológica, jurídica, socioafetiva e a decorrente da procriação medicamente assistida. Além disso, será abordado também conceitos </w:t>
      </w:r>
      <w:r w:rsidR="00D72B34">
        <w:rPr>
          <w:rFonts w:cs="Times New Roman"/>
          <w:b w:val="0"/>
          <w:bCs/>
        </w:rPr>
        <w:t xml:space="preserve">relevantes como </w:t>
      </w:r>
      <w:r w:rsidRPr="00655F73">
        <w:rPr>
          <w:rFonts w:cs="Times New Roman"/>
          <w:b w:val="0"/>
          <w:bCs/>
        </w:rPr>
        <w:t xml:space="preserve">a posse de estado de filho.  </w:t>
      </w:r>
    </w:p>
    <w:p w14:paraId="0F7E342B" w14:textId="09C85FD2" w:rsidR="00655F73" w:rsidRPr="00655F73" w:rsidRDefault="00655F73" w:rsidP="00655F73">
      <w:pPr>
        <w:rPr>
          <w:rFonts w:cs="Times New Roman"/>
          <w:b w:val="0"/>
          <w:bCs/>
        </w:rPr>
      </w:pPr>
      <w:r w:rsidRPr="00655F73">
        <w:rPr>
          <w:rFonts w:cs="Times New Roman"/>
          <w:b w:val="0"/>
          <w:bCs/>
        </w:rPr>
        <w:t xml:space="preserve">Por fim, o Capítulo III trata especificamente sobre o procedimento de reconhecimento de filho, e seus contornos nas legislações brasileira e portuguesa. Inicialmente será feita uma abordagem das formas de estabelecimento da paternidade no Brasil e em Portugal </w:t>
      </w:r>
      <w:r w:rsidR="001F12E9">
        <w:rPr>
          <w:rFonts w:cs="Times New Roman"/>
          <w:b w:val="0"/>
          <w:bCs/>
        </w:rPr>
        <w:t xml:space="preserve">de modo </w:t>
      </w:r>
      <w:r w:rsidRPr="00655F73">
        <w:rPr>
          <w:rFonts w:cs="Times New Roman"/>
          <w:b w:val="0"/>
          <w:bCs/>
        </w:rPr>
        <w:t>ampl</w:t>
      </w:r>
      <w:r w:rsidR="001F12E9">
        <w:rPr>
          <w:rFonts w:cs="Times New Roman"/>
          <w:b w:val="0"/>
          <w:bCs/>
        </w:rPr>
        <w:t>o</w:t>
      </w:r>
      <w:r w:rsidRPr="00655F73">
        <w:rPr>
          <w:rFonts w:cs="Times New Roman"/>
          <w:b w:val="0"/>
          <w:bCs/>
        </w:rPr>
        <w:t xml:space="preserve">, em que o reconhecimento de filho se insere em uma dessas formas. Após, adentraremos no reconhecimento voluntário de filho e seus atributos. </w:t>
      </w:r>
    </w:p>
    <w:p w14:paraId="77A415C2" w14:textId="15EFA0FE" w:rsidR="00655F73" w:rsidRPr="00655F73" w:rsidRDefault="00655F73" w:rsidP="00655F73">
      <w:pPr>
        <w:rPr>
          <w:rFonts w:cs="Times New Roman"/>
          <w:b w:val="0"/>
          <w:bCs/>
        </w:rPr>
      </w:pPr>
      <w:r w:rsidRPr="00655F73">
        <w:rPr>
          <w:rFonts w:cs="Times New Roman"/>
          <w:b w:val="0"/>
          <w:bCs/>
        </w:rPr>
        <w:t>Analisaremos mais aprofundadamente a legislação brasileira sobre o tema</w:t>
      </w:r>
      <w:r w:rsidR="00481962">
        <w:rPr>
          <w:rFonts w:cs="Times New Roman"/>
          <w:b w:val="0"/>
          <w:bCs/>
        </w:rPr>
        <w:t>, já que</w:t>
      </w:r>
      <w:r w:rsidRPr="00655F73">
        <w:rPr>
          <w:rFonts w:cs="Times New Roman"/>
          <w:b w:val="0"/>
          <w:bCs/>
        </w:rPr>
        <w:t xml:space="preserve"> </w:t>
      </w:r>
      <w:r w:rsidR="00A778D6">
        <w:rPr>
          <w:rFonts w:cs="Times New Roman"/>
          <w:b w:val="0"/>
          <w:bCs/>
        </w:rPr>
        <w:t>n</w:t>
      </w:r>
      <w:r w:rsidRPr="00655F73">
        <w:rPr>
          <w:rFonts w:cs="Times New Roman"/>
          <w:b w:val="0"/>
          <w:bCs/>
        </w:rPr>
        <w:t xml:space="preserve">o Brasil </w:t>
      </w:r>
      <w:r w:rsidR="00A778D6">
        <w:rPr>
          <w:rFonts w:cs="Times New Roman"/>
          <w:b w:val="0"/>
          <w:bCs/>
        </w:rPr>
        <w:t>há a autorização legal</w:t>
      </w:r>
      <w:r w:rsidRPr="00655F73">
        <w:rPr>
          <w:rFonts w:cs="Times New Roman"/>
          <w:b w:val="0"/>
          <w:bCs/>
        </w:rPr>
        <w:t xml:space="preserve"> </w:t>
      </w:r>
      <w:r w:rsidR="00C02826">
        <w:rPr>
          <w:rFonts w:cs="Times New Roman"/>
          <w:b w:val="0"/>
          <w:bCs/>
        </w:rPr>
        <w:t>nos casos de</w:t>
      </w:r>
      <w:r w:rsidRPr="00655F73">
        <w:rPr>
          <w:rFonts w:cs="Times New Roman"/>
          <w:b w:val="0"/>
          <w:bCs/>
        </w:rPr>
        <w:t xml:space="preserve"> reconhecimentos de paternidade com o vínculo biológico e socioafetivo. O reconhecimento de filho biológico nos Registros Civis das Pessoas Naturais já é uma realidade em todo o País, em decorrência da padronização legislativa em nível federal. A referida padronização deu-se em razão da edição do Provimento nº 16/2012, pela Corregedoria Nacional de Justiça. Tal provimento possibilita o reconhecimento do filho concebido fora do casamento, e que foi registrado sem a paternida</w:t>
      </w:r>
      <w:r w:rsidR="00D66B3C">
        <w:rPr>
          <w:rFonts w:cs="Times New Roman"/>
          <w:b w:val="0"/>
          <w:bCs/>
        </w:rPr>
        <w:t>de</w:t>
      </w:r>
      <w:r w:rsidRPr="00655F73">
        <w:rPr>
          <w:rFonts w:cs="Times New Roman"/>
          <w:b w:val="0"/>
          <w:bCs/>
        </w:rPr>
        <w:t xml:space="preserve">. </w:t>
      </w:r>
    </w:p>
    <w:p w14:paraId="6CE39FE5" w14:textId="3578E0BB" w:rsidR="00655F73" w:rsidRPr="00655F73" w:rsidRDefault="00655F73" w:rsidP="00655F73">
      <w:pPr>
        <w:rPr>
          <w:rFonts w:cs="Times New Roman"/>
          <w:b w:val="0"/>
          <w:bCs/>
        </w:rPr>
      </w:pPr>
      <w:r w:rsidRPr="00655F73">
        <w:rPr>
          <w:rFonts w:cs="Times New Roman"/>
          <w:b w:val="0"/>
          <w:bCs/>
        </w:rPr>
        <w:t xml:space="preserve">Mais adiante trataremos especificamente sobre o reconhecimento </w:t>
      </w:r>
      <w:r w:rsidR="001935F7">
        <w:rPr>
          <w:rFonts w:cs="Times New Roman"/>
          <w:b w:val="0"/>
          <w:bCs/>
        </w:rPr>
        <w:t xml:space="preserve">socioafetivo </w:t>
      </w:r>
      <w:r w:rsidRPr="00655F73">
        <w:rPr>
          <w:rFonts w:cs="Times New Roman"/>
          <w:b w:val="0"/>
          <w:bCs/>
        </w:rPr>
        <w:t xml:space="preserve">de filho. No brasil, </w:t>
      </w:r>
      <w:r w:rsidR="008C6323">
        <w:rPr>
          <w:rFonts w:cs="Times New Roman"/>
          <w:b w:val="0"/>
          <w:bCs/>
        </w:rPr>
        <w:t>esse tip</w:t>
      </w:r>
      <w:r w:rsidRPr="00655F73">
        <w:rPr>
          <w:rFonts w:cs="Times New Roman"/>
          <w:b w:val="0"/>
          <w:bCs/>
        </w:rPr>
        <w:t>o</w:t>
      </w:r>
      <w:r w:rsidR="008C6323">
        <w:rPr>
          <w:rFonts w:cs="Times New Roman"/>
          <w:b w:val="0"/>
          <w:bCs/>
        </w:rPr>
        <w:t xml:space="preserve"> de</w:t>
      </w:r>
      <w:r w:rsidRPr="00655F73">
        <w:rPr>
          <w:rFonts w:cs="Times New Roman"/>
          <w:b w:val="0"/>
          <w:bCs/>
        </w:rPr>
        <w:t xml:space="preserve"> reconhecimento</w:t>
      </w:r>
      <w:r w:rsidR="008C6323">
        <w:rPr>
          <w:rFonts w:cs="Times New Roman"/>
          <w:b w:val="0"/>
          <w:bCs/>
        </w:rPr>
        <w:t xml:space="preserve"> de </w:t>
      </w:r>
      <w:r w:rsidRPr="00655F73">
        <w:rPr>
          <w:rFonts w:cs="Times New Roman"/>
          <w:b w:val="0"/>
          <w:bCs/>
        </w:rPr>
        <w:t>filho se fortaleceu com a edição do Provimento nº 63/2017, do Conselho Nacional de Justiça</w:t>
      </w:r>
      <w:r w:rsidR="003A3AAC">
        <w:rPr>
          <w:rFonts w:cs="Times New Roman"/>
          <w:b w:val="0"/>
          <w:bCs/>
        </w:rPr>
        <w:t>. Mencionado provimento</w:t>
      </w:r>
      <w:r w:rsidRPr="00655F73">
        <w:rPr>
          <w:rFonts w:cs="Times New Roman"/>
          <w:b w:val="0"/>
          <w:bCs/>
        </w:rPr>
        <w:t xml:space="preserve"> autorizou </w:t>
      </w:r>
      <w:r w:rsidR="003A3AAC">
        <w:rPr>
          <w:rFonts w:cs="Times New Roman"/>
          <w:b w:val="0"/>
          <w:bCs/>
        </w:rPr>
        <w:t>o</w:t>
      </w:r>
      <w:r w:rsidRPr="00655F73">
        <w:rPr>
          <w:rFonts w:cs="Times New Roman"/>
          <w:b w:val="0"/>
          <w:bCs/>
        </w:rPr>
        <w:t xml:space="preserve"> reconhecimento diretamente nos Registros Civis das Pessoas Naturais, ou seja, de forma administrativa, sem a intervenção judicial, desjudicializando e dando celeridade ao procedimento. A possibilidade do reconhecimento de filho socioafetivo diretamente no Registro Civil engrandece o princípio da igualdade entre os filhos e valoriza as famílias construídas em torno do afeto. Isso também enaltece a verdade real, que deve ser compatibilizada com a verdade registral. Assim, abriu-se a possibilidade do estabelecimento da paternidade socioafetiva tanto na esfera judicial quanto na extrajudicial, facilitando a formação das famílias de afeto. </w:t>
      </w:r>
    </w:p>
    <w:p w14:paraId="737A0E19" w14:textId="63EFE776" w:rsidR="00655F73" w:rsidRPr="00655F73" w:rsidRDefault="00655F73" w:rsidP="00655F73">
      <w:pPr>
        <w:rPr>
          <w:rFonts w:cs="Times New Roman"/>
          <w:b w:val="0"/>
          <w:bCs/>
        </w:rPr>
      </w:pPr>
      <w:r w:rsidRPr="00655F73">
        <w:rPr>
          <w:rFonts w:cs="Times New Roman"/>
          <w:b w:val="0"/>
          <w:bCs/>
        </w:rPr>
        <w:t xml:space="preserve">Quanto ao reconhecimento socioafetivo de filho em Portugal, verificamos que sua legislação não avançou tanto quanto a brasileira. </w:t>
      </w:r>
      <w:r w:rsidR="003A3AAC">
        <w:rPr>
          <w:rFonts w:cs="Times New Roman"/>
          <w:b w:val="0"/>
          <w:bCs/>
        </w:rPr>
        <w:t>Não há uma legislação que ampare o</w:t>
      </w:r>
      <w:r w:rsidRPr="00655F73">
        <w:rPr>
          <w:rFonts w:cs="Times New Roman"/>
          <w:b w:val="0"/>
          <w:bCs/>
        </w:rPr>
        <w:t xml:space="preserve"> </w:t>
      </w:r>
      <w:r w:rsidR="00A55254">
        <w:rPr>
          <w:rFonts w:cs="Times New Roman"/>
          <w:b w:val="0"/>
          <w:bCs/>
        </w:rPr>
        <w:t>reconhecimento voluntário de uma filiação socioafetiva</w:t>
      </w:r>
      <w:r w:rsidRPr="00655F73">
        <w:rPr>
          <w:rFonts w:cs="Times New Roman"/>
          <w:b w:val="0"/>
          <w:bCs/>
        </w:rPr>
        <w:t xml:space="preserve">. De qualquer modo vislumbramos a petição n° 451/XIII/3ª, em que solicita uma legislação sobre a parentalidade socioafetiva, </w:t>
      </w:r>
      <w:r w:rsidR="003A3AAC">
        <w:rPr>
          <w:rFonts w:cs="Times New Roman"/>
          <w:b w:val="0"/>
          <w:bCs/>
        </w:rPr>
        <w:t xml:space="preserve">o que demonstra uma preocupação </w:t>
      </w:r>
      <w:r w:rsidR="00967150">
        <w:rPr>
          <w:rFonts w:cs="Times New Roman"/>
          <w:b w:val="0"/>
          <w:bCs/>
        </w:rPr>
        <w:t xml:space="preserve">e relevância </w:t>
      </w:r>
      <w:r w:rsidR="00FC628A">
        <w:rPr>
          <w:rFonts w:cs="Times New Roman"/>
          <w:b w:val="0"/>
          <w:bCs/>
        </w:rPr>
        <w:t>d</w:t>
      </w:r>
      <w:r w:rsidR="00967150">
        <w:rPr>
          <w:rFonts w:cs="Times New Roman"/>
          <w:b w:val="0"/>
          <w:bCs/>
        </w:rPr>
        <w:t xml:space="preserve">o tema. </w:t>
      </w:r>
      <w:r w:rsidR="001923DB">
        <w:rPr>
          <w:rFonts w:cs="Times New Roman"/>
          <w:b w:val="0"/>
          <w:bCs/>
        </w:rPr>
        <w:t>Uma</w:t>
      </w:r>
      <w:r w:rsidRPr="00655F73">
        <w:rPr>
          <w:rFonts w:cs="Times New Roman"/>
          <w:b w:val="0"/>
          <w:bCs/>
        </w:rPr>
        <w:t xml:space="preserve"> legislação </w:t>
      </w:r>
      <w:r w:rsidR="001923DB">
        <w:rPr>
          <w:rFonts w:cs="Times New Roman"/>
          <w:b w:val="0"/>
          <w:bCs/>
        </w:rPr>
        <w:t>específica</w:t>
      </w:r>
      <w:r w:rsidRPr="00655F73">
        <w:rPr>
          <w:rFonts w:cs="Times New Roman"/>
          <w:b w:val="0"/>
          <w:bCs/>
        </w:rPr>
        <w:t xml:space="preserve"> poderá delimitar quais os casos se encaixam nessa situação e, então, gerar uma proteção legal aos filhos socioafetivos, principalmente em razão do superior interesse da criança e a não discriminação aos filhos, independentemente de sua origem.</w:t>
      </w:r>
    </w:p>
    <w:p w14:paraId="2C7BC34E" w14:textId="77777777" w:rsidR="00655F73" w:rsidRPr="00655F73" w:rsidRDefault="00655F73" w:rsidP="00655F73">
      <w:pPr>
        <w:rPr>
          <w:rFonts w:cs="Times New Roman"/>
          <w:b w:val="0"/>
          <w:bCs/>
        </w:rPr>
      </w:pPr>
      <w:r w:rsidRPr="00655F73">
        <w:rPr>
          <w:rFonts w:cs="Times New Roman"/>
          <w:b w:val="0"/>
          <w:bCs/>
        </w:rPr>
        <w:t>O presente trabalho é finalizado com a conclusão e a menção de toda a fonte bibliográfica utilizada como referência para sua concretude e desenvolvimento. Utilizar-se-á de pesquisa bibliográfica e documental, empregando-se o método dedutivo e, por sua vez, os métodos de procedimento serão o histórico e o comparativo.</w:t>
      </w:r>
    </w:p>
    <w:p w14:paraId="2300424E" w14:textId="77777777" w:rsidR="004B07D3" w:rsidRPr="004B07D3" w:rsidRDefault="004B07D3" w:rsidP="00C913CF">
      <w:pPr>
        <w:pStyle w:val="NormalWeb"/>
        <w:spacing w:before="0" w:beforeAutospacing="0" w:after="0" w:afterAutospacing="0" w:line="360" w:lineRule="auto"/>
      </w:pPr>
    </w:p>
    <w:p w14:paraId="5BFC824D" w14:textId="77777777" w:rsidR="004B07D3" w:rsidRPr="004B07D3" w:rsidRDefault="004B07D3" w:rsidP="00DF7FA2">
      <w:pPr>
        <w:pStyle w:val="corpo"/>
      </w:pPr>
      <w:r w:rsidRPr="004B07D3">
        <w:br w:type="page"/>
      </w:r>
    </w:p>
    <w:p w14:paraId="011FA742" w14:textId="77777777" w:rsidR="004B07D3" w:rsidRPr="00C5742D" w:rsidRDefault="004B07D3" w:rsidP="00B16BAA">
      <w:pPr>
        <w:pStyle w:val="Ttulo1"/>
        <w:numPr>
          <w:ilvl w:val="0"/>
          <w:numId w:val="3"/>
        </w:numPr>
        <w:rPr>
          <w:color w:val="000000" w:themeColor="text1"/>
          <w:szCs w:val="24"/>
        </w:rPr>
      </w:pPr>
      <w:bookmarkStart w:id="15" w:name="_Toc28034637"/>
      <w:r w:rsidRPr="00C5742D">
        <w:rPr>
          <w:color w:val="000000" w:themeColor="text1"/>
          <w:szCs w:val="24"/>
        </w:rPr>
        <w:t xml:space="preserve">REFLEXÕES SOBRE </w:t>
      </w:r>
      <w:r w:rsidR="00E83182">
        <w:rPr>
          <w:color w:val="000000" w:themeColor="text1"/>
          <w:szCs w:val="24"/>
        </w:rPr>
        <w:t>O ESTADO DE FILIAÇÃO</w:t>
      </w:r>
      <w:bookmarkEnd w:id="15"/>
    </w:p>
    <w:p w14:paraId="366035F1" w14:textId="77777777" w:rsidR="004B07D3" w:rsidRPr="004B07D3" w:rsidRDefault="004B07D3" w:rsidP="004B07D3">
      <w:pPr>
        <w:rPr>
          <w:rFonts w:cs="Times New Roman"/>
          <w:b w:val="0"/>
          <w:color w:val="000000" w:themeColor="text1"/>
        </w:rPr>
      </w:pPr>
    </w:p>
    <w:p w14:paraId="2402236A" w14:textId="77777777" w:rsidR="004B07D3" w:rsidRDefault="00E83182" w:rsidP="004B07D3">
      <w:pPr>
        <w:pStyle w:val="Ttulo2"/>
      </w:pPr>
      <w:bookmarkStart w:id="16" w:name="_Toc28034638"/>
      <w:r>
        <w:t>O Estado de Filiação como um Direito Fundamental</w:t>
      </w:r>
      <w:bookmarkEnd w:id="16"/>
    </w:p>
    <w:p w14:paraId="011555AE" w14:textId="77777777" w:rsidR="00C572FE" w:rsidRPr="00C572FE" w:rsidRDefault="00C572FE" w:rsidP="00C572FE"/>
    <w:p w14:paraId="2A84A238" w14:textId="77777777" w:rsidR="00C572FE" w:rsidRDefault="00C572FE" w:rsidP="00C572FE">
      <w:pPr>
        <w:rPr>
          <w:b w:val="0"/>
          <w:bCs/>
        </w:rPr>
      </w:pPr>
      <w:r w:rsidRPr="00C572FE">
        <w:rPr>
          <w:b w:val="0"/>
          <w:bCs/>
        </w:rPr>
        <w:t xml:space="preserve">A origem dos direitos fundamentais tem ligação direta com a origem do constitucionalismo. </w:t>
      </w:r>
      <w:r w:rsidR="004F0B4D">
        <w:rPr>
          <w:b w:val="0"/>
          <w:bCs/>
        </w:rPr>
        <w:t>Por conseguinte, o</w:t>
      </w:r>
      <w:r w:rsidRPr="00C572FE">
        <w:rPr>
          <w:b w:val="0"/>
          <w:bCs/>
        </w:rPr>
        <w:t xml:space="preserve"> constitucionalismo está intrinsecamente interligado às Constituições escritas e rígidas dos Estados Unidos da América (1787) e com a da França (1791), desde a Revolução Francesa. O constitucionalismo é integrado por um movimento histórico, político e filosófico que sustenta a limitação do poder do Estado através de um instrumento, normalmente escrito, pelo qual se intitula de Constituição.</w:t>
      </w:r>
    </w:p>
    <w:p w14:paraId="3D50060D" w14:textId="77777777" w:rsidR="0027730D" w:rsidRPr="00C572FE" w:rsidRDefault="0027730D" w:rsidP="00C572FE">
      <w:pPr>
        <w:rPr>
          <w:b w:val="0"/>
          <w:bCs/>
        </w:rPr>
      </w:pPr>
      <w:r>
        <w:rPr>
          <w:b w:val="0"/>
          <w:bCs/>
        </w:rPr>
        <w:t>Mais especificamente</w:t>
      </w:r>
      <w:r w:rsidR="00A82DE7">
        <w:rPr>
          <w:b w:val="0"/>
          <w:bCs/>
        </w:rPr>
        <w:t xml:space="preserve"> no Brasil e em Portugal, Alex Sander Xavier Pires</w:t>
      </w:r>
      <w:r w:rsidR="00DF705A">
        <w:rPr>
          <w:rStyle w:val="Refdenotaderodap"/>
          <w:b w:val="0"/>
          <w:bCs/>
        </w:rPr>
        <w:footnoteReference w:id="1"/>
      </w:r>
      <w:r w:rsidR="00A82DE7">
        <w:rPr>
          <w:b w:val="0"/>
          <w:bCs/>
        </w:rPr>
        <w:t xml:space="preserve"> nos ensina que o constitucionalismo luso-brasileiro pressupõe o reconhecimento que os fatos históricos </w:t>
      </w:r>
      <w:r w:rsidR="0028676F">
        <w:rPr>
          <w:b w:val="0"/>
          <w:bCs/>
        </w:rPr>
        <w:t>auxiliam p</w:t>
      </w:r>
      <w:r w:rsidR="00A82DE7">
        <w:rPr>
          <w:b w:val="0"/>
          <w:bCs/>
        </w:rPr>
        <w:t>ara o esclarecimento do direito contemporâneo</w:t>
      </w:r>
      <w:r w:rsidR="0028676F">
        <w:rPr>
          <w:b w:val="0"/>
          <w:bCs/>
        </w:rPr>
        <w:t>. Além disso</w:t>
      </w:r>
      <w:r w:rsidR="00A82DE7">
        <w:rPr>
          <w:b w:val="0"/>
          <w:bCs/>
        </w:rPr>
        <w:t>,</w:t>
      </w:r>
      <w:r w:rsidR="0028676F">
        <w:rPr>
          <w:b w:val="0"/>
          <w:bCs/>
        </w:rPr>
        <w:t xml:space="preserve"> a criação de constituições que vieram para limitar o poder político, e que garantiram a liberdade individual ocorreu em vários Estados, principalmente os recém libertos da dominação pública.</w:t>
      </w:r>
      <w:r w:rsidR="00A82DE7">
        <w:rPr>
          <w:b w:val="0"/>
          <w:bCs/>
        </w:rPr>
        <w:t xml:space="preserve"> </w:t>
      </w:r>
    </w:p>
    <w:p w14:paraId="4204FF8B" w14:textId="77777777" w:rsidR="00C572FE" w:rsidRPr="00C572FE" w:rsidRDefault="00C572FE" w:rsidP="00C572FE">
      <w:pPr>
        <w:rPr>
          <w:b w:val="0"/>
          <w:bCs/>
        </w:rPr>
      </w:pPr>
      <w:r w:rsidRPr="00C572FE">
        <w:rPr>
          <w:b w:val="0"/>
          <w:bCs/>
        </w:rPr>
        <w:t>A Constituição é um mecanismo legislativo supremo para a formação do Direito Constitucional com a missão de ceifar o abuso do poder estatal. O Direito Constitucional, ramo do Direito Público, tem a incumbência primordial, em sentido amplo, de sistematizar o funcionamento do Estado, associar os elementos primários desse Estado, além de determinar sua estrutura política.</w:t>
      </w:r>
    </w:p>
    <w:p w14:paraId="54CC5F59" w14:textId="77777777" w:rsidR="00C572FE" w:rsidRPr="00C572FE" w:rsidRDefault="00C572FE" w:rsidP="005D2A65">
      <w:pPr>
        <w:pStyle w:val="corpo"/>
      </w:pPr>
      <w:r w:rsidRPr="00C572FE">
        <w:t xml:space="preserve">O Direito, por ser uma ciência humana e multidimensional comporta várias divergências no seu entendimento, e qualquer tema subordinado ao Direito trará no seu bojo, inúmeras correntes de interpretação. Logo, não poderia ser diferente com os direitos fundamentais que se manifestam por algumas teorias com a intenção de transmitir conhecimento interpretativo fundado num ideal teórico. Para </w:t>
      </w:r>
      <w:proofErr w:type="spellStart"/>
      <w:r w:rsidRPr="00C572FE">
        <w:t>Antonio</w:t>
      </w:r>
      <w:proofErr w:type="spellEnd"/>
      <w:r w:rsidRPr="00C572FE">
        <w:t xml:space="preserve">-Enrique Pérez </w:t>
      </w:r>
      <w:proofErr w:type="spellStart"/>
      <w:r w:rsidRPr="00C572FE">
        <w:t>Luño</w:t>
      </w:r>
      <w:proofErr w:type="spellEnd"/>
      <w:r w:rsidRPr="00C572FE">
        <w:rPr>
          <w:rStyle w:val="Refdenotaderodap"/>
          <w:b/>
          <w:bCs/>
          <w:szCs w:val="24"/>
        </w:rPr>
        <w:footnoteReference w:id="2"/>
      </w:r>
      <w:r w:rsidRPr="00C572FE">
        <w:t xml:space="preserve">, os direitos fundamentais são fruto de dupla convergência: (i) o encontro da tradição filosófica humanista representada pelo </w:t>
      </w:r>
      <w:proofErr w:type="spellStart"/>
      <w:r w:rsidRPr="00C572FE">
        <w:t>iusnaturalismo</w:t>
      </w:r>
      <w:proofErr w:type="spellEnd"/>
      <w:r w:rsidRPr="00C572FE">
        <w:t xml:space="preserve"> de orientação democrática, com as técnicas de positivação e proteção das liberdades pelo movimento constitucionalista do Estado de Direito e; (</w:t>
      </w:r>
      <w:proofErr w:type="spellStart"/>
      <w:r w:rsidRPr="00C572FE">
        <w:t>ii</w:t>
      </w:r>
      <w:proofErr w:type="spellEnd"/>
      <w:r w:rsidRPr="00C572FE">
        <w:t xml:space="preserve">) a mediação entre a liberdade individual e o sistema de necessidades de caráter econômico, cultural e coletivos a cuja satisfação e tutela se dirigem os direitos sociais. </w:t>
      </w:r>
    </w:p>
    <w:p w14:paraId="3F72A9BB" w14:textId="77777777" w:rsidR="00C572FE" w:rsidRPr="00C572FE" w:rsidRDefault="00C572FE" w:rsidP="00C572FE">
      <w:pPr>
        <w:rPr>
          <w:b w:val="0"/>
          <w:bCs/>
        </w:rPr>
      </w:pPr>
      <w:r w:rsidRPr="00C572FE">
        <w:rPr>
          <w:b w:val="0"/>
          <w:bCs/>
        </w:rPr>
        <w:t xml:space="preserve">Filosoficamente são destacadas três teorias que justificam a existência dos direitos fundamentais. Teoria jusnaturalista, a teoria positivista e a teoria realista. Na primeira teoria, o jusnaturalismo defende o direito natural e transmite a existência de direitos </w:t>
      </w:r>
      <w:proofErr w:type="spellStart"/>
      <w:r w:rsidRPr="00C572FE">
        <w:rPr>
          <w:b w:val="0"/>
          <w:bCs/>
        </w:rPr>
        <w:t>pré-positivos</w:t>
      </w:r>
      <w:proofErr w:type="spellEnd"/>
      <w:r w:rsidRPr="00C572FE">
        <w:rPr>
          <w:b w:val="0"/>
          <w:bCs/>
        </w:rPr>
        <w:t>, que não dependem do reconhecimento pelo Estado. Alguns direitos mesmo não escritos e garantidos pelas leis do Estado são próprios do ser humano, ou seja, nascem com o indivíduo.</w:t>
      </w:r>
    </w:p>
    <w:p w14:paraId="2CE640F4" w14:textId="77777777" w:rsidR="00C572FE" w:rsidRPr="00C572FE" w:rsidRDefault="00C572FE" w:rsidP="00C572FE">
      <w:pPr>
        <w:rPr>
          <w:b w:val="0"/>
          <w:bCs/>
        </w:rPr>
      </w:pPr>
      <w:r w:rsidRPr="00C572FE">
        <w:rPr>
          <w:b w:val="0"/>
          <w:bCs/>
        </w:rPr>
        <w:t>Em seguida, a teoria positivista preconiza que o direito nasce com o Estado, isto é, o direito só tem validade com o inteiro reconhecimento do Estado soberano.</w:t>
      </w:r>
    </w:p>
    <w:p w14:paraId="18569833" w14:textId="08D2CF67" w:rsidR="00C572FE" w:rsidRPr="00C572FE" w:rsidRDefault="00C572FE" w:rsidP="00C572FE">
      <w:pPr>
        <w:rPr>
          <w:b w:val="0"/>
          <w:bCs/>
        </w:rPr>
      </w:pPr>
      <w:r w:rsidRPr="00C572FE">
        <w:rPr>
          <w:b w:val="0"/>
          <w:bCs/>
        </w:rPr>
        <w:t>Na teoria realista, o que sobressai é a história. Os realistas respaldam que os direitos fundamentais são aqueles conquistados historicamente pela sociedade</w:t>
      </w:r>
      <w:r w:rsidR="0041021E">
        <w:rPr>
          <w:b w:val="0"/>
          <w:bCs/>
        </w:rPr>
        <w:t>, frut</w:t>
      </w:r>
      <w:r w:rsidR="00A26A9C">
        <w:rPr>
          <w:b w:val="0"/>
          <w:bCs/>
        </w:rPr>
        <w:t>o</w:t>
      </w:r>
      <w:r w:rsidR="0041021E">
        <w:rPr>
          <w:b w:val="0"/>
          <w:bCs/>
        </w:rPr>
        <w:t xml:space="preserve"> das lutas dos indivíduos por mais liberdade e igualdade.</w:t>
      </w:r>
    </w:p>
    <w:p w14:paraId="4D19A1E9" w14:textId="77777777" w:rsidR="00C572FE" w:rsidRPr="00C572FE" w:rsidRDefault="00C572FE" w:rsidP="00C572FE">
      <w:pPr>
        <w:rPr>
          <w:b w:val="0"/>
          <w:bCs/>
        </w:rPr>
      </w:pPr>
      <w:r w:rsidRPr="00C572FE">
        <w:rPr>
          <w:b w:val="0"/>
          <w:bCs/>
        </w:rPr>
        <w:t xml:space="preserve">Tanto no Brasil quanto em Portugal, há dois princípios que agasalham a existência dos direitos fundamentais. O princípio da dignidade da pessoa humana e o princípio do estado de direito. O princípio do estado de direito refere-se </w:t>
      </w:r>
      <w:r w:rsidR="008A496E">
        <w:rPr>
          <w:b w:val="0"/>
          <w:bCs/>
        </w:rPr>
        <w:t>à limitação do poder do Estado</w:t>
      </w:r>
      <w:r w:rsidRPr="00C572FE">
        <w:rPr>
          <w:b w:val="0"/>
          <w:bCs/>
        </w:rPr>
        <w:t>, pelo qual, direitos básicos devem ser respeitados</w:t>
      </w:r>
      <w:r w:rsidR="008A496E">
        <w:rPr>
          <w:b w:val="0"/>
          <w:bCs/>
        </w:rPr>
        <w:t>, conforme adoção do sistema dito de “império da lei”</w:t>
      </w:r>
      <w:r w:rsidRPr="00C572FE">
        <w:rPr>
          <w:b w:val="0"/>
          <w:bCs/>
        </w:rPr>
        <w:t>. Em relação ao princípio da dignidade da pessoa humana, este será tratado mais adiante.</w:t>
      </w:r>
    </w:p>
    <w:p w14:paraId="6B654920" w14:textId="77777777" w:rsidR="00C572FE" w:rsidRPr="00C572FE" w:rsidRDefault="00C572FE" w:rsidP="00C572FE">
      <w:pPr>
        <w:rPr>
          <w:b w:val="0"/>
          <w:bCs/>
        </w:rPr>
      </w:pPr>
      <w:r w:rsidRPr="00C572FE">
        <w:rPr>
          <w:b w:val="0"/>
          <w:bCs/>
        </w:rPr>
        <w:t>Direitos fundamentais são direitos básico previstos internamente nas Constituições Federais brasileira e portuguesa, diferente dos direitos humanos, que são aqueles protegidos internacionalmente, consagrados como direitos da humanidade nos tratados internacionais. Doutrinariamente, os direitos fundamentais são tratados dentro dos paradigmas liberal, social e pós-social. No paradigma liberal, o modelo de direitos fundamentais surgiu no fim do século XVII, no chamado Estado de Direito, Estado Liberal de Direito ou Estado Burguês de Direito, pautado por um constitucionalismo</w:t>
      </w:r>
      <w:r w:rsidR="00C93AA2">
        <w:rPr>
          <w:b w:val="0"/>
          <w:bCs/>
        </w:rPr>
        <w:t xml:space="preserve"> centrado na garantia das liberdades individuais</w:t>
      </w:r>
      <w:r w:rsidRPr="00C572FE">
        <w:rPr>
          <w:b w:val="0"/>
          <w:bCs/>
        </w:rPr>
        <w:t>, visando impedir as arbitrariedades de um soberano sem responsabilidade jurídica.</w:t>
      </w:r>
    </w:p>
    <w:p w14:paraId="27B33687" w14:textId="77777777" w:rsidR="00C572FE" w:rsidRPr="00C572FE" w:rsidRDefault="00EC1C5E" w:rsidP="00C572FE">
      <w:pPr>
        <w:rPr>
          <w:b w:val="0"/>
          <w:bCs/>
        </w:rPr>
      </w:pPr>
      <w:r>
        <w:rPr>
          <w:b w:val="0"/>
          <w:bCs/>
        </w:rPr>
        <w:t xml:space="preserve">Dentro desse contexto, era exigido do poder público condutas de abstenção ou negativas em relação aos </w:t>
      </w:r>
      <w:r w:rsidR="00C572FE" w:rsidRPr="00C572FE">
        <w:rPr>
          <w:b w:val="0"/>
          <w:bCs/>
        </w:rPr>
        <w:t xml:space="preserve">indivíduos, em </w:t>
      </w:r>
      <w:r>
        <w:rPr>
          <w:b w:val="0"/>
          <w:bCs/>
        </w:rPr>
        <w:t xml:space="preserve">razão </w:t>
      </w:r>
      <w:r w:rsidR="00C572FE" w:rsidRPr="00C572FE">
        <w:rPr>
          <w:b w:val="0"/>
          <w:bCs/>
        </w:rPr>
        <w:t xml:space="preserve">da luta pela liberdade e segurança diante do Estado. </w:t>
      </w:r>
      <w:r w:rsidR="00B5355F">
        <w:rPr>
          <w:b w:val="0"/>
          <w:bCs/>
        </w:rPr>
        <w:t>Estamos diante dos</w:t>
      </w:r>
      <w:r w:rsidR="00C572FE" w:rsidRPr="00C572FE">
        <w:rPr>
          <w:b w:val="0"/>
          <w:bCs/>
        </w:rPr>
        <w:t xml:space="preserve"> direitos de primeira geração. </w:t>
      </w:r>
      <w:r w:rsidR="0066582E">
        <w:rPr>
          <w:b w:val="0"/>
          <w:bCs/>
        </w:rPr>
        <w:t>Essa fase gerou como c</w:t>
      </w:r>
      <w:r w:rsidR="00C572FE" w:rsidRPr="00C572FE">
        <w:rPr>
          <w:b w:val="0"/>
          <w:bCs/>
        </w:rPr>
        <w:t xml:space="preserve">onsequência a supremacia do individualismo, exploração dos trabalhadores e afronta à dignidade humana. </w:t>
      </w:r>
      <w:r w:rsidR="0066582E">
        <w:rPr>
          <w:b w:val="0"/>
          <w:bCs/>
        </w:rPr>
        <w:t>Nesses termos</w:t>
      </w:r>
      <w:r w:rsidR="00C572FE" w:rsidRPr="00C572FE">
        <w:rPr>
          <w:b w:val="0"/>
          <w:bCs/>
        </w:rPr>
        <w:t xml:space="preserve">, </w:t>
      </w:r>
      <w:r w:rsidR="0066582E">
        <w:rPr>
          <w:b w:val="0"/>
          <w:bCs/>
        </w:rPr>
        <w:t>a</w:t>
      </w:r>
      <w:r w:rsidR="00C572FE" w:rsidRPr="00C572FE">
        <w:rPr>
          <w:b w:val="0"/>
          <w:bCs/>
        </w:rPr>
        <w:t>o Estado</w:t>
      </w:r>
      <w:r w:rsidR="0066582E">
        <w:rPr>
          <w:b w:val="0"/>
          <w:bCs/>
        </w:rPr>
        <w:t xml:space="preserve"> coube a responsabilidade de</w:t>
      </w:r>
      <w:r w:rsidR="00C572FE" w:rsidRPr="00C572FE">
        <w:rPr>
          <w:b w:val="0"/>
          <w:bCs/>
        </w:rPr>
        <w:t xml:space="preserve"> novamente intervir</w:t>
      </w:r>
      <w:r w:rsidR="00C93AA2">
        <w:rPr>
          <w:b w:val="0"/>
          <w:bCs/>
        </w:rPr>
        <w:t>; portanto,</w:t>
      </w:r>
      <w:r w:rsidR="00C572FE" w:rsidRPr="00C572FE">
        <w:rPr>
          <w:b w:val="0"/>
          <w:bCs/>
        </w:rPr>
        <w:t xml:space="preserve"> </w:t>
      </w:r>
      <w:r w:rsidR="00C93AA2">
        <w:rPr>
          <w:b w:val="0"/>
          <w:bCs/>
        </w:rPr>
        <w:t>n</w:t>
      </w:r>
      <w:r w:rsidR="00C572FE" w:rsidRPr="00C572FE">
        <w:rPr>
          <w:b w:val="0"/>
          <w:bCs/>
        </w:rPr>
        <w:t>asce no século XX, o constitucionalismo social e democrático</w:t>
      </w:r>
      <w:r w:rsidR="00C93AA2">
        <w:rPr>
          <w:b w:val="0"/>
          <w:bCs/>
        </w:rPr>
        <w:t>,</w:t>
      </w:r>
      <w:r w:rsidR="00C572FE" w:rsidRPr="00C572FE">
        <w:rPr>
          <w:b w:val="0"/>
          <w:bCs/>
        </w:rPr>
        <w:t xml:space="preserve"> o Estado Social de Direito, </w:t>
      </w:r>
      <w:r w:rsidR="00C93AA2">
        <w:rPr>
          <w:b w:val="0"/>
          <w:bCs/>
        </w:rPr>
        <w:t xml:space="preserve">o </w:t>
      </w:r>
      <w:r w:rsidR="00C572FE" w:rsidRPr="00C572FE">
        <w:rPr>
          <w:b w:val="0"/>
          <w:bCs/>
        </w:rPr>
        <w:t xml:space="preserve">Estado do Bem-Estar Social </w:t>
      </w:r>
      <w:r w:rsidR="00C93AA2">
        <w:rPr>
          <w:b w:val="0"/>
          <w:bCs/>
        </w:rPr>
        <w:t>e o</w:t>
      </w:r>
      <w:r w:rsidR="00C572FE" w:rsidRPr="00C572FE">
        <w:rPr>
          <w:b w:val="0"/>
          <w:bCs/>
        </w:rPr>
        <w:t xml:space="preserve"> Estado Democrático de Direito, </w:t>
      </w:r>
      <w:r w:rsidR="00714E88">
        <w:rPr>
          <w:b w:val="0"/>
          <w:bCs/>
        </w:rPr>
        <w:t xml:space="preserve">que surgiram em </w:t>
      </w:r>
      <w:r w:rsidR="00C572FE" w:rsidRPr="00C572FE">
        <w:rPr>
          <w:b w:val="0"/>
          <w:bCs/>
        </w:rPr>
        <w:t xml:space="preserve">decorrência do paradigma social. </w:t>
      </w:r>
    </w:p>
    <w:p w14:paraId="213FB415" w14:textId="77777777" w:rsidR="00C572FE" w:rsidRPr="00C572FE" w:rsidRDefault="00C11D62" w:rsidP="00C572FE">
      <w:pPr>
        <w:rPr>
          <w:b w:val="0"/>
          <w:bCs/>
        </w:rPr>
      </w:pPr>
      <w:r>
        <w:rPr>
          <w:b w:val="0"/>
          <w:bCs/>
        </w:rPr>
        <w:t>Houve, então, o nascimento de um</w:t>
      </w:r>
      <w:r w:rsidR="00C572FE" w:rsidRPr="00C572FE">
        <w:rPr>
          <w:b w:val="0"/>
          <w:bCs/>
        </w:rPr>
        <w:t xml:space="preserve"> novo modelo</w:t>
      </w:r>
      <w:r>
        <w:rPr>
          <w:b w:val="0"/>
          <w:bCs/>
        </w:rPr>
        <w:t xml:space="preserve"> que tem como base uma</w:t>
      </w:r>
      <w:r w:rsidR="00C572FE" w:rsidRPr="00C572FE">
        <w:rPr>
          <w:b w:val="0"/>
          <w:bCs/>
        </w:rPr>
        <w:t xml:space="preserve"> noção de igualdade material, </w:t>
      </w:r>
      <w:r>
        <w:rPr>
          <w:b w:val="0"/>
          <w:bCs/>
        </w:rPr>
        <w:t xml:space="preserve">com o objetivo final </w:t>
      </w:r>
      <w:r w:rsidR="00C572FE" w:rsidRPr="00C572FE">
        <w:rPr>
          <w:b w:val="0"/>
          <w:bCs/>
        </w:rPr>
        <w:t>de se reduzir as desigualdades para que haja pelo menos um piso mínimo existencial. Para Ricardo Lobo Torres, a dignidade humana, bem como as condições materiais da existência devem ter um patamar mínimo, em que ninguém pode ser privado. E o fundamento a esse direito mínimo existencial baseia-se nas condições para o exercício da liberdade</w:t>
      </w:r>
      <w:r w:rsidR="00C572FE" w:rsidRPr="00C572FE">
        <w:rPr>
          <w:rStyle w:val="Refdenotaderodap"/>
          <w:rFonts w:cs="Times New Roman"/>
          <w:b w:val="0"/>
          <w:bCs/>
          <w:szCs w:val="20"/>
        </w:rPr>
        <w:footnoteReference w:id="3"/>
      </w:r>
      <w:r w:rsidR="00C572FE" w:rsidRPr="00C572FE">
        <w:rPr>
          <w:b w:val="0"/>
          <w:bCs/>
        </w:rPr>
        <w:t xml:space="preserve">. </w:t>
      </w:r>
    </w:p>
    <w:p w14:paraId="23EC57B5" w14:textId="77777777" w:rsidR="00C572FE" w:rsidRPr="00C572FE" w:rsidRDefault="00C11D62" w:rsidP="00C572FE">
      <w:pPr>
        <w:rPr>
          <w:b w:val="0"/>
          <w:bCs/>
        </w:rPr>
      </w:pPr>
      <w:r>
        <w:rPr>
          <w:b w:val="0"/>
          <w:bCs/>
        </w:rPr>
        <w:t xml:space="preserve">Verifica-se que o Estado intervém nas relações particulares, e isso </w:t>
      </w:r>
      <w:r w:rsidR="00C572FE" w:rsidRPr="00C572FE">
        <w:rPr>
          <w:b w:val="0"/>
          <w:bCs/>
        </w:rPr>
        <w:t>se justifica para garantir a dignidade da pessoa humana</w:t>
      </w:r>
      <w:r>
        <w:rPr>
          <w:b w:val="0"/>
          <w:bCs/>
        </w:rPr>
        <w:t>. A</w:t>
      </w:r>
      <w:r w:rsidR="00C572FE" w:rsidRPr="00C572FE">
        <w:rPr>
          <w:b w:val="0"/>
          <w:bCs/>
        </w:rPr>
        <w:t xml:space="preserve"> constituição passa a ser a norma fundamental de máxima hierarquia dos ordenamentos jurídicos. Nasce os chamados direitos de segunda geração.</w:t>
      </w:r>
    </w:p>
    <w:p w14:paraId="3CED7892" w14:textId="77777777" w:rsidR="00C572FE" w:rsidRPr="00C572FE" w:rsidRDefault="00C11D62" w:rsidP="00C572FE">
      <w:pPr>
        <w:rPr>
          <w:b w:val="0"/>
          <w:bCs/>
        </w:rPr>
      </w:pPr>
      <w:r>
        <w:rPr>
          <w:b w:val="0"/>
          <w:bCs/>
        </w:rPr>
        <w:t>P</w:t>
      </w:r>
      <w:r w:rsidR="00C572FE" w:rsidRPr="00C572FE">
        <w:rPr>
          <w:b w:val="0"/>
          <w:bCs/>
        </w:rPr>
        <w:t xml:space="preserve">or fim, </w:t>
      </w:r>
      <w:r>
        <w:rPr>
          <w:b w:val="0"/>
          <w:bCs/>
        </w:rPr>
        <w:t xml:space="preserve">há os direitos fundamentais como </w:t>
      </w:r>
      <w:r w:rsidR="00C572FE" w:rsidRPr="00C572FE">
        <w:rPr>
          <w:b w:val="0"/>
          <w:bCs/>
        </w:rPr>
        <w:t>paradigma pós-social</w:t>
      </w:r>
      <w:r w:rsidR="004B2D0F">
        <w:rPr>
          <w:b w:val="0"/>
          <w:bCs/>
        </w:rPr>
        <w:t>, em razão do</w:t>
      </w:r>
      <w:r w:rsidR="00C572FE" w:rsidRPr="00C572FE">
        <w:rPr>
          <w:b w:val="0"/>
          <w:bCs/>
        </w:rPr>
        <w:t xml:space="preserve"> modelo capitalista </w:t>
      </w:r>
      <w:r w:rsidR="004B2D0F">
        <w:rPr>
          <w:b w:val="0"/>
          <w:bCs/>
        </w:rPr>
        <w:t>criar</w:t>
      </w:r>
      <w:r w:rsidR="00C572FE" w:rsidRPr="00C572FE">
        <w:rPr>
          <w:b w:val="0"/>
          <w:bCs/>
        </w:rPr>
        <w:t xml:space="preserve"> novas formas de poder representados pelas grandes empresas, que se tornaram ameaças aos direitos fundamentais, já que seu interesse único </w:t>
      </w:r>
      <w:r w:rsidR="004B2D0F">
        <w:rPr>
          <w:b w:val="0"/>
          <w:bCs/>
        </w:rPr>
        <w:t xml:space="preserve">é a </w:t>
      </w:r>
      <w:r w:rsidR="00C572FE" w:rsidRPr="00C572FE">
        <w:rPr>
          <w:b w:val="0"/>
          <w:bCs/>
        </w:rPr>
        <w:t xml:space="preserve">perseguição do lucro. Surge então uma preocupação com os chamados direitos de terceira geração: direitos difusos como a proteção aos consumidores, ao meio ambiente ecologicamente equilibrado, à paz, e ao desenvolvimento sustentável. Há um alto teor de humanismo e universalidade, que tem por destinatário o gênero humano. </w:t>
      </w:r>
      <w:r w:rsidR="004B2D0F">
        <w:rPr>
          <w:b w:val="0"/>
          <w:bCs/>
        </w:rPr>
        <w:t xml:space="preserve">Nesse momento verifica-se a busca de </w:t>
      </w:r>
      <w:r w:rsidR="00C572FE" w:rsidRPr="00C572FE">
        <w:rPr>
          <w:b w:val="0"/>
          <w:bCs/>
        </w:rPr>
        <w:t xml:space="preserve">um equilíbrio entre valores sociais e interesses privados. </w:t>
      </w:r>
    </w:p>
    <w:p w14:paraId="7D374D41" w14:textId="02EEEC3F" w:rsidR="00C572FE" w:rsidRPr="00C572FE" w:rsidRDefault="00C572FE" w:rsidP="00C572FE">
      <w:pPr>
        <w:rPr>
          <w:b w:val="0"/>
          <w:bCs/>
        </w:rPr>
      </w:pPr>
      <w:r w:rsidRPr="00C572FE">
        <w:rPr>
          <w:b w:val="0"/>
          <w:bCs/>
        </w:rPr>
        <w:t>Na doutrina há autores</w:t>
      </w:r>
      <w:r w:rsidR="00E24E2B">
        <w:rPr>
          <w:b w:val="0"/>
          <w:bCs/>
        </w:rPr>
        <w:t>, como Norberto Bobbio e Paulo Bonavides,</w:t>
      </w:r>
      <w:r w:rsidRPr="00C572FE">
        <w:rPr>
          <w:b w:val="0"/>
          <w:bCs/>
        </w:rPr>
        <w:t xml:space="preserve"> que defendem a existência de direitos de quarta geração, nada obstante, ainda são minoritários. Manifestam serem direitos relacionados aos direitos de engenharia genética ou ainda a luta pela democracia.</w:t>
      </w:r>
    </w:p>
    <w:p w14:paraId="4D9BBD1C" w14:textId="77777777" w:rsidR="00C572FE" w:rsidRPr="00C572FE" w:rsidRDefault="00C572FE" w:rsidP="00C572FE">
      <w:pPr>
        <w:rPr>
          <w:b w:val="0"/>
          <w:bCs/>
        </w:rPr>
      </w:pPr>
      <w:r w:rsidRPr="00C572FE">
        <w:rPr>
          <w:b w:val="0"/>
          <w:bCs/>
        </w:rPr>
        <w:t>Os direitos fundamentais apresentam como principais características a historicidade, a relatividade, a imprescritibilidade, a inalienabilidade, a indisponibilidade ou irrenunciabilidade, a indivisibilidade, além da eficácia horizontal e vertical. A historicidade consiste na variação dos direitos fundamentais pela época e lugar. Norberto Bobbio</w:t>
      </w:r>
      <w:r w:rsidRPr="00C572FE">
        <w:rPr>
          <w:rStyle w:val="Refdenotaderodap"/>
          <w:rFonts w:cs="Times New Roman"/>
          <w:b w:val="0"/>
          <w:bCs/>
        </w:rPr>
        <w:footnoteReference w:id="4"/>
      </w:r>
      <w:r w:rsidRPr="00C572FE">
        <w:rPr>
          <w:b w:val="0"/>
          <w:bCs/>
        </w:rPr>
        <w:t xml:space="preserve"> ensina que os direitos do homem, mesmo fundamentais, são direitos dotados de uma história, de certas circunstâncias, são direitos conquistados de forma gradativa e em combates para com a defesa de novas liberdades.</w:t>
      </w:r>
    </w:p>
    <w:p w14:paraId="6AB2B6CF" w14:textId="134722A2" w:rsidR="00C572FE" w:rsidRPr="00C572FE" w:rsidRDefault="00C572FE" w:rsidP="00C572FE">
      <w:pPr>
        <w:rPr>
          <w:b w:val="0"/>
          <w:bCs/>
        </w:rPr>
      </w:pPr>
      <w:r w:rsidRPr="00C572FE">
        <w:rPr>
          <w:b w:val="0"/>
          <w:bCs/>
        </w:rPr>
        <w:t xml:space="preserve">No que diz respeito à relatividade, os direitos fundamentais não são de carga absolutista, mas sim </w:t>
      </w:r>
      <w:r w:rsidR="00E24E2B">
        <w:rPr>
          <w:b w:val="0"/>
          <w:bCs/>
        </w:rPr>
        <w:t xml:space="preserve">de </w:t>
      </w:r>
      <w:r w:rsidRPr="00C572FE">
        <w:rPr>
          <w:b w:val="0"/>
          <w:bCs/>
        </w:rPr>
        <w:t>cargas relativas. Até mesmo os direitos básicos desarmonizam entre si, daí a importância da relativização do direito. Inclusive, o direito à vida também sofre limitações explícita no artigo 5º, inciso XLVII, alínea a, da Constituição Federal Brasileira, pelo qual permite a pena de morte em caso de guerra declarada formalmente</w:t>
      </w:r>
      <w:r w:rsidR="00230D20">
        <w:rPr>
          <w:b w:val="0"/>
          <w:bCs/>
        </w:rPr>
        <w:t>, enquanto no âmbito da Constituição da República Portuguesa trata-se de direito mais absoluto por ser expressamente proibida a pena de morte, conforme artigo 24</w:t>
      </w:r>
      <w:r w:rsidR="00230D20">
        <w:rPr>
          <w:rFonts w:cs="Times New Roman"/>
          <w:b w:val="0"/>
          <w:bCs/>
        </w:rPr>
        <w:t>°</w:t>
      </w:r>
      <w:r w:rsidR="00230D20">
        <w:rPr>
          <w:b w:val="0"/>
          <w:bCs/>
        </w:rPr>
        <w:t>, 2</w:t>
      </w:r>
      <w:r w:rsidRPr="00C572FE">
        <w:rPr>
          <w:b w:val="0"/>
          <w:bCs/>
        </w:rPr>
        <w:t>.</w:t>
      </w:r>
    </w:p>
    <w:p w14:paraId="651C02A8" w14:textId="77777777" w:rsidR="00C572FE" w:rsidRPr="00C572FE" w:rsidRDefault="00C572FE" w:rsidP="00C572FE">
      <w:pPr>
        <w:rPr>
          <w:b w:val="0"/>
          <w:bCs/>
          <w:sz w:val="20"/>
          <w:szCs w:val="20"/>
        </w:rPr>
      </w:pPr>
      <w:r w:rsidRPr="00C572FE">
        <w:rPr>
          <w:b w:val="0"/>
          <w:bCs/>
        </w:rPr>
        <w:t>Vale frisar que essas limitações dos direitos fundamentais não podem ser além nem aquém do necessário, por conseguinte, essas limitações só podem ocorrer com base nos preceitos constitucionais, respeitando os princípios da razoabilidade e proporcionalidade. Konrad Hesse bem explana esse ponto quando menciona que a limitação de direitos fundamentais deve ser adequada para produzir a proteção do bem jurídico. Nesses termos, a limitação deve ser a necessária ao caso, o que não acontece em situações mais amenas. Finalmente, deve-se chegar a um limite proporcional em sentido restrito, isto é, guardar relação adequada com o peso e significado do direito fundamental</w:t>
      </w:r>
      <w:r w:rsidRPr="00C572FE">
        <w:rPr>
          <w:rStyle w:val="Refdenotaderodap"/>
          <w:b w:val="0"/>
          <w:bCs/>
        </w:rPr>
        <w:footnoteReference w:id="5"/>
      </w:r>
      <w:r w:rsidRPr="00C572FE">
        <w:rPr>
          <w:b w:val="0"/>
          <w:bCs/>
        </w:rPr>
        <w:t xml:space="preserve">.  </w:t>
      </w:r>
    </w:p>
    <w:p w14:paraId="7E9ED09A" w14:textId="736B856A" w:rsidR="00C572FE" w:rsidRPr="00C572FE" w:rsidRDefault="00C572FE" w:rsidP="00C572FE">
      <w:pPr>
        <w:rPr>
          <w:b w:val="0"/>
          <w:bCs/>
        </w:rPr>
      </w:pPr>
      <w:r w:rsidRPr="00C572FE">
        <w:rPr>
          <w:b w:val="0"/>
          <w:bCs/>
        </w:rPr>
        <w:t>A imprescritibilidade descreve que em regra, o direito fundamental não perece, mas há alguns direitos fundamentais que sofrem prescrição, como por exemplo, o direito de propriedade pelo instituto da usucapião. No Direito Constitucional, direitos fundamentais imprescritíveis têm sentido de não findar com o tempo.</w:t>
      </w:r>
    </w:p>
    <w:p w14:paraId="0F756BCB" w14:textId="77777777" w:rsidR="00B10153" w:rsidRDefault="00C572FE" w:rsidP="00C572FE">
      <w:pPr>
        <w:rPr>
          <w:b w:val="0"/>
          <w:bCs/>
        </w:rPr>
      </w:pPr>
      <w:r w:rsidRPr="00C572FE">
        <w:rPr>
          <w:b w:val="0"/>
          <w:bCs/>
        </w:rPr>
        <w:t xml:space="preserve">Em relação à característica da inalienabilidade, os direitos fundamentais, como regra geral, não podem ser comercializados, doados, emprestados. Possuem eficácia objetiva, são pertencentes à coletividade. A exceção novamente recai sobre o direito de propriedade. </w:t>
      </w:r>
    </w:p>
    <w:p w14:paraId="2DB5A187" w14:textId="1EBB388E" w:rsidR="00C572FE" w:rsidRPr="00C572FE" w:rsidRDefault="00C572FE" w:rsidP="00C572FE">
      <w:pPr>
        <w:rPr>
          <w:b w:val="0"/>
          <w:bCs/>
        </w:rPr>
      </w:pPr>
      <w:r w:rsidRPr="00C572FE">
        <w:rPr>
          <w:b w:val="0"/>
          <w:bCs/>
        </w:rPr>
        <w:t>A respeito da indisponibilidade ou irrenunciabilidade, devido sua eficácia objetiva, os direitos fundamentais são indisponíveis e também de interesse coletivo. As exceções são para o direito à intimidade e a privacidade, pelo qual a renúncia pode ocorrer de maneira temporária, desde que não viole a dignidade humana.</w:t>
      </w:r>
    </w:p>
    <w:p w14:paraId="06FA145C" w14:textId="77777777" w:rsidR="00B10153" w:rsidRDefault="00C572FE" w:rsidP="00C572FE">
      <w:pPr>
        <w:rPr>
          <w:b w:val="0"/>
          <w:bCs/>
        </w:rPr>
      </w:pPr>
      <w:r w:rsidRPr="00C572FE">
        <w:rPr>
          <w:b w:val="0"/>
          <w:bCs/>
        </w:rPr>
        <w:t xml:space="preserve">Os direitos fundamentais, quanto à indivisibilidade, integram um conjunto que não pode sofrer desmembramentos. O desrespeito a um deles representa desrespeito a todos, abrir exceção a um deles significa abrir exceção a todos. </w:t>
      </w:r>
    </w:p>
    <w:p w14:paraId="2C027C01" w14:textId="26B4F3CF" w:rsidR="00C572FE" w:rsidRPr="00C572FE" w:rsidRDefault="00C572FE" w:rsidP="00C572FE">
      <w:pPr>
        <w:rPr>
          <w:b w:val="0"/>
          <w:bCs/>
        </w:rPr>
      </w:pPr>
      <w:r w:rsidRPr="00C572FE">
        <w:rPr>
          <w:b w:val="0"/>
          <w:bCs/>
        </w:rPr>
        <w:t>Por fim, após verificado todo o histórico e classificação dos direitos fundamentais podemos concluir que o Estado de Filiação é um direito fundamental do filho em poder ter estabelecida a sua paternidade e maternidade.</w:t>
      </w:r>
    </w:p>
    <w:p w14:paraId="765C0289" w14:textId="77777777" w:rsidR="00C572FE" w:rsidRPr="00C572FE" w:rsidRDefault="00C572FE" w:rsidP="00C572FE">
      <w:pPr>
        <w:rPr>
          <w:b w:val="0"/>
          <w:bCs/>
        </w:rPr>
      </w:pPr>
      <w:r w:rsidRPr="00C572FE">
        <w:rPr>
          <w:b w:val="0"/>
          <w:bCs/>
        </w:rPr>
        <w:t>O filho tem o direito a conhecer seus pais. Esse é um direito fundamental à identidade pessoal e genética (artigo 26°, n° 1, CRP), sendo o seu sentido o de garantir aquilo que identifica cada pessoa, como indivíduo singular e irredutível, abrangendo, para lhe poder ser conferido um conteúdo útil, além do direito ao nome, um direito à historicidade pessoal</w:t>
      </w:r>
      <w:r w:rsidRPr="00C572FE">
        <w:rPr>
          <w:rStyle w:val="Refdenotaderodap"/>
          <w:b w:val="0"/>
          <w:bCs/>
        </w:rPr>
        <w:footnoteReference w:id="6"/>
      </w:r>
      <w:r w:rsidRPr="00C572FE">
        <w:rPr>
          <w:b w:val="0"/>
          <w:bCs/>
        </w:rPr>
        <w:t xml:space="preserve">. </w:t>
      </w:r>
    </w:p>
    <w:p w14:paraId="466D29E2" w14:textId="77777777" w:rsidR="004B07D3" w:rsidRDefault="00E83182" w:rsidP="004B07D3">
      <w:pPr>
        <w:pStyle w:val="Ttulo2"/>
      </w:pPr>
      <w:bookmarkStart w:id="17" w:name="_Toc28034639"/>
      <w:r>
        <w:t>Princípios Aplicáveis ao estado de filiação socioafetivo</w:t>
      </w:r>
      <w:bookmarkEnd w:id="17"/>
    </w:p>
    <w:p w14:paraId="64EC8E54" w14:textId="77777777" w:rsidR="00092D54" w:rsidRDefault="00092D54" w:rsidP="00092D54"/>
    <w:p w14:paraId="621D1470" w14:textId="05999274" w:rsidR="00092D54" w:rsidRDefault="00092D54" w:rsidP="00092D54">
      <w:pPr>
        <w:pStyle w:val="corpo"/>
      </w:pPr>
      <w:r>
        <w:t>O estudo dos princípios aplicáveis ao estado de filiação socioafetivo torna-se imprescindível, já que enfatiza a relevância do tema, bem como prioriza o desenvolvimento de instrumentos que possam assegurar a garantia do reconhecimento socioafetivo de filho. A Constituição brasileira admite o vínculo socioafetivo, possibilitando o nascimento de várias formas de entidades familiares. Há, assim, um progresso significativo no Direito de Família, concretizando o real significado de princípios basilares constitucionais e infraconstitucionais.</w:t>
      </w:r>
    </w:p>
    <w:p w14:paraId="10A60A6C" w14:textId="070BE42E" w:rsidR="00092D54" w:rsidRDefault="00092D54" w:rsidP="00FA19D0">
      <w:pPr>
        <w:pStyle w:val="corpo"/>
        <w:tabs>
          <w:tab w:val="clear" w:pos="4252"/>
          <w:tab w:val="clear" w:pos="8504"/>
        </w:tabs>
      </w:pPr>
      <w:r>
        <w:t>Notoriamente a construção histórica do Direito de Família vem sofrendo modificações na direção de uma igualdade e harmonização plena entre os indivíduos visando e</w:t>
      </w:r>
      <w:r w:rsidR="00DB7F8B">
        <w:t>liminar</w:t>
      </w:r>
      <w:r>
        <w:t xml:space="preserve"> a desigualdade entre homens e mulheres</w:t>
      </w:r>
      <w:r w:rsidR="005B110F">
        <w:t>.</w:t>
      </w:r>
      <w:r>
        <w:t xml:space="preserve"> </w:t>
      </w:r>
      <w:r w:rsidR="005B110F">
        <w:t>Tem-se o intuito de e</w:t>
      </w:r>
      <w:r>
        <w:t>stabelecer o tratamento homogêneo entre os filhos concebidos dentro ou fora do casamento</w:t>
      </w:r>
      <w:r w:rsidR="005B110F">
        <w:t>,</w:t>
      </w:r>
      <w:r>
        <w:t xml:space="preserve"> e viabilizar </w:t>
      </w:r>
      <w:r w:rsidR="005B110F">
        <w:t>a</w:t>
      </w:r>
      <w:r>
        <w:t xml:space="preserve"> legaliza</w:t>
      </w:r>
      <w:r w:rsidR="005B110F">
        <w:t>ção</w:t>
      </w:r>
      <w:r>
        <w:t xml:space="preserve"> </w:t>
      </w:r>
      <w:r w:rsidR="005B110F">
        <w:t>d</w:t>
      </w:r>
      <w:r>
        <w:t>as relações amorosas que fogem da estrutura tradicional de duas pessoas, solidificando a base familiar.</w:t>
      </w:r>
    </w:p>
    <w:p w14:paraId="4CEA7CC4" w14:textId="77777777" w:rsidR="00092D54" w:rsidRDefault="00092D54" w:rsidP="00092D54">
      <w:pPr>
        <w:pStyle w:val="corpo"/>
      </w:pPr>
      <w:r>
        <w:t>O Código Civil brasileiro de 2002 procurou adequar-se à evolução social e aos bons costumes, absorvendo as mudanças legislativas, regulamentando aspectos primordiais do Direito de Família à luz dos princípios e normas constitucionais. Essas incorporações ao Código Civil de 2002 tiveram a intenção de resguardar a coerência familiar e os valores culturais, conferindo à família moderna tratamento mais condizente à realidade social.</w:t>
      </w:r>
    </w:p>
    <w:p w14:paraId="5AC1597F" w14:textId="0897DEB6" w:rsidR="00092D54" w:rsidRDefault="00092D54" w:rsidP="00092D54">
      <w:pPr>
        <w:pStyle w:val="corpo"/>
      </w:pPr>
      <w:r>
        <w:t>Em razão de incalculáveis princípios constitucionais implícitos e explícitos, cada autor, de acordo com sua interpretação versa sobre uma quantidade determinada de princípios, não havendo consenso doutrinário que abalize ao certo a quantidade de princípios que amparam tanto o Direito de Família quanto o Estado de Filiação Socioafetivo. Nesta perspectiva, há princípios basilares para o Direito de Família e que concomitantemente se operam em todos os ramos do direito, a exemplo do princípio da dignidade da pessoa humana, do princípio da igualdade e do princípio da liberdade.</w:t>
      </w:r>
    </w:p>
    <w:p w14:paraId="4693455D" w14:textId="57E7B870" w:rsidR="00092D54" w:rsidRDefault="00092D54" w:rsidP="00092D54">
      <w:pPr>
        <w:pStyle w:val="corpo"/>
      </w:pPr>
      <w:r>
        <w:t>Assim, apresenta-se o estudo de alguns princípios do Direito de Família que verificam ser relevantes ao aprofundamento da pesquisa do ato de Reconhecimento de Filho Socioafetivo.</w:t>
      </w:r>
    </w:p>
    <w:p w14:paraId="1AD8CDAA" w14:textId="77777777" w:rsidR="0040395D" w:rsidRDefault="0040395D" w:rsidP="0040395D"/>
    <w:p w14:paraId="0A56B42C" w14:textId="77777777" w:rsidR="004B07D3" w:rsidRDefault="00A026A5" w:rsidP="004B07D3">
      <w:pPr>
        <w:pStyle w:val="Ttulo3"/>
        <w:rPr>
          <w:b/>
          <w:bCs/>
          <w:szCs w:val="24"/>
        </w:rPr>
      </w:pPr>
      <w:bookmarkStart w:id="18" w:name="_Toc28034640"/>
      <w:r>
        <w:rPr>
          <w:b/>
          <w:bCs/>
          <w:szCs w:val="24"/>
        </w:rPr>
        <w:t>Princípio do respeito à Dignidade da Pessoa Humana</w:t>
      </w:r>
      <w:bookmarkEnd w:id="18"/>
    </w:p>
    <w:p w14:paraId="3B4AC56A" w14:textId="77777777" w:rsidR="00D209B2" w:rsidRDefault="00D209B2" w:rsidP="00D209B2"/>
    <w:p w14:paraId="3E844DA6" w14:textId="77777777" w:rsidR="00D209B2" w:rsidRDefault="00D209B2" w:rsidP="00D209B2">
      <w:pPr>
        <w:pStyle w:val="corpo"/>
      </w:pPr>
      <w:r>
        <w:t>Esse princípio é basilar na composição do Estado democrático de direito. O princípio em questão fundamenta a dignidade da pessoa humana e está previsto como princípio de direito fundamental no artigo 1º, inciso III, da Constituição Federal brasileira, e no artigo 1º, da Constituição da República Portuguesa. A dignidade da pessoa humana representa um valor supremo, impõe o dever de respeito, proteção e intocabilidade à pessoa, com o intuito de promover os direitos humanos e justiça social. O papel do Direito é estimular um justo desenvolvimento social, garantindo a aplicabilidade correta dos princípios fundamentais e</w:t>
      </w:r>
      <w:r w:rsidR="00DB7F8B">
        <w:t>,</w:t>
      </w:r>
      <w:r>
        <w:t xml:space="preserve"> se</w:t>
      </w:r>
      <w:r w:rsidR="00DB7F8B">
        <w:t xml:space="preserve"> for</w:t>
      </w:r>
      <w:r>
        <w:t xml:space="preserve"> necessário</w:t>
      </w:r>
      <w:r w:rsidR="00DB7F8B">
        <w:t>,</w:t>
      </w:r>
      <w:r>
        <w:t xml:space="preserve"> coibir possível ação humana que vise corromper ou destruir o correto funcionamento desses princípios.</w:t>
      </w:r>
    </w:p>
    <w:p w14:paraId="74A3A07C" w14:textId="6888F6D4" w:rsidR="00D209B2" w:rsidRDefault="00D209B2" w:rsidP="00D209B2">
      <w:pPr>
        <w:pStyle w:val="corpo"/>
      </w:pPr>
      <w:r>
        <w:t>Immanuel Kant</w:t>
      </w:r>
      <w:r>
        <w:rPr>
          <w:rStyle w:val="Refdenotaderodap"/>
        </w:rPr>
        <w:footnoteReference w:id="7"/>
      </w:r>
      <w:r>
        <w:t xml:space="preserve"> traz através dos seus estudos</w:t>
      </w:r>
      <w:r w:rsidR="00AB50C9">
        <w:t>,</w:t>
      </w:r>
      <w:r>
        <w:t xml:space="preserve"> o princípio denominado de a natureza racional existente como fim em si mesmo. Esse princípio tem correlação direta com a dignidade da pessoa humana, em que o ser racional existe como fim em si mesmo, jamais como meio para o uso despótico desta ou daquela vontade, independente se sua ação é direcionada a si próprio ou a outrem.</w:t>
      </w:r>
    </w:p>
    <w:p w14:paraId="4450A451" w14:textId="77777777" w:rsidR="00D209B2" w:rsidRDefault="00D209B2" w:rsidP="00D209B2">
      <w:pPr>
        <w:pStyle w:val="corpo"/>
      </w:pPr>
      <w:r>
        <w:t>Kant traduz nos seus ensinamentos a importância da democracia para consagrar a dignidade da pessoa humana. Os ensinamentos de Kant não envelhecem e nem caem em desuso, estão cada vez mais modernos e sincronizados ao atual cenário mundial. De uma forma didática e objetiva procura distinguir aquilo que tem um preço, seja pecuniário, seja estimativo, do que é dotado de dignidade, a saber, do que é inestimável, do que é indisponível, do que não pode ser objeto de troca.</w:t>
      </w:r>
    </w:p>
    <w:p w14:paraId="64BC8739" w14:textId="77777777" w:rsidR="00D209B2" w:rsidRDefault="00D209B2" w:rsidP="00D209B2">
      <w:pPr>
        <w:pStyle w:val="corpo"/>
      </w:pPr>
      <w:r>
        <w:t>Em uma análise simples, a dignidade é o pilar de uma sociedade justa e equilibrada, é o início para a evolução humana. O princípio da dignidade da pessoa humana figura nos artigos 1º, tanto da Constituição Brasileira quanto da Portuguesa, mas não se restringe apenas a esse artigo, já que esse princípio está enraizado em outros artigos das respectivas Constituições.</w:t>
      </w:r>
    </w:p>
    <w:p w14:paraId="2F9C80B5" w14:textId="77777777" w:rsidR="00DB7F8B" w:rsidRDefault="00D209B2" w:rsidP="00D209B2">
      <w:pPr>
        <w:pStyle w:val="corpo"/>
      </w:pPr>
      <w:r>
        <w:t>O princípio da dignidade da pessoa humana é uma arma de proteção ao homem contra o próprio homem e que ganhou um consenso ético e uma importância ímpar após a Segunda Guerra Mundial. Um antídoto contra os abomináveis excessos d</w:t>
      </w:r>
      <w:r w:rsidR="00DB7F8B">
        <w:t>e</w:t>
      </w:r>
      <w:r>
        <w:t xml:space="preserve"> ideologia</w:t>
      </w:r>
      <w:r w:rsidR="00DB7F8B">
        <w:t>s políticas sociais</w:t>
      </w:r>
      <w:r>
        <w:t>, que marc</w:t>
      </w:r>
      <w:r w:rsidR="00DB7F8B">
        <w:t xml:space="preserve">aram </w:t>
      </w:r>
      <w:r>
        <w:t xml:space="preserve">uma história triste e inaceitável no mundo, perseguindo e torturando até a morte todas as pessoas que não se enquadravam dentro das </w:t>
      </w:r>
      <w:r w:rsidR="00DB7F8B">
        <w:t xml:space="preserve">secções políticas de manutenção forçada de governos e regimes políticos. </w:t>
      </w:r>
    </w:p>
    <w:p w14:paraId="220261EB" w14:textId="77777777" w:rsidR="00F20C6C" w:rsidRDefault="00C328DA" w:rsidP="00D209B2">
      <w:pPr>
        <w:pStyle w:val="corpo"/>
      </w:pPr>
      <w:r>
        <w:t xml:space="preserve">O princípio da dignidade da pessoa humana vem expresso no artigo 1°, da CRP, em razão de sua importância, ao estabelecer que a República </w:t>
      </w:r>
      <w:proofErr w:type="gramStart"/>
      <w:r>
        <w:t>baseia-se</w:t>
      </w:r>
      <w:proofErr w:type="gramEnd"/>
      <w:r>
        <w:t xml:space="preserve"> nesse princípio. Assim, mencionado princípio é o preceito basilar no ordenamento, e consequentemente, as demais garantias constitucionais advêm de uma subordinação sob uma perspectiva substancial. O princípio da dignidade da pessoa humana deve ser compreendido como fundamento e não como consequência da ordem normativa</w:t>
      </w:r>
      <w:r w:rsidR="003A4CC0">
        <w:rPr>
          <w:rStyle w:val="Refdenotaderodap"/>
        </w:rPr>
        <w:footnoteReference w:id="8"/>
      </w:r>
      <w:r>
        <w:t xml:space="preserve">. </w:t>
      </w:r>
      <w:r w:rsidR="00F20C6C">
        <w:t>Além disso, o direito à dignidade provém da própri</w:t>
      </w:r>
      <w:r w:rsidR="00C645B6">
        <w:t>a</w:t>
      </w:r>
      <w:r w:rsidR="00F20C6C">
        <w:t xml:space="preserve"> condição de ser homem, em que “a pessoa é </w:t>
      </w:r>
      <w:proofErr w:type="gramStart"/>
      <w:r w:rsidR="00F20C6C">
        <w:t>sujeito</w:t>
      </w:r>
      <w:proofErr w:type="gramEnd"/>
      <w:r w:rsidR="00F20C6C">
        <w:t xml:space="preserve"> e não objeto, é fim e não meio de relações jurídico-sociais”</w:t>
      </w:r>
      <w:r w:rsidR="00F20C6C">
        <w:rPr>
          <w:rStyle w:val="Refdenotaderodap"/>
        </w:rPr>
        <w:footnoteReference w:id="9"/>
      </w:r>
      <w:r w:rsidR="00F20C6C">
        <w:t>.</w:t>
      </w:r>
    </w:p>
    <w:p w14:paraId="507336C2" w14:textId="77777777" w:rsidR="00D209B2" w:rsidRDefault="00D209B2" w:rsidP="00D209B2">
      <w:pPr>
        <w:pStyle w:val="corpo"/>
      </w:pPr>
      <w:r>
        <w:t>A Carta das Nações Unidas de 1945</w:t>
      </w:r>
      <w:r>
        <w:rPr>
          <w:rStyle w:val="Refdenotaderodap"/>
        </w:rPr>
        <w:footnoteReference w:id="10"/>
      </w:r>
      <w:r>
        <w:t xml:space="preserve"> fortifica em seu preâmbulo a importância da dignidade da pessoa humana. Na mesma linha, a Declaração Universal dos Direitos Humanos</w:t>
      </w:r>
      <w:r>
        <w:rPr>
          <w:rStyle w:val="Refdenotaderodap"/>
        </w:rPr>
        <w:footnoteReference w:id="11"/>
      </w:r>
      <w:r>
        <w:t>, elaborada pela ONU em 1948, começa seu preâmbulo concretizando que a dignidade humana está estabelecida para todos os membros da família, que possuem direitos iguais e inalienáveis. Em seu artigo 1º defende que todos nascem livres e iguais em dignidade e direitos e devem agir uns para com os outros num espírito de fraternidade.</w:t>
      </w:r>
    </w:p>
    <w:p w14:paraId="6F0887C4" w14:textId="1378DD65" w:rsidR="00D209B2" w:rsidRDefault="00D209B2" w:rsidP="00D209B2">
      <w:pPr>
        <w:pStyle w:val="corpo"/>
      </w:pPr>
      <w:r>
        <w:t>É perceptível que o conceito de dignidade da pessoa humana é multifacetado</w:t>
      </w:r>
      <w:r w:rsidR="00BB45E5">
        <w:t>,</w:t>
      </w:r>
      <w:r>
        <w:t xml:space="preserve"> e está presente não só no direito, mas também na religião, na filosofia</w:t>
      </w:r>
      <w:r w:rsidR="00DB7F8B">
        <w:t xml:space="preserve">, </w:t>
      </w:r>
      <w:r>
        <w:t>na política</w:t>
      </w:r>
      <w:r w:rsidR="00DB7F8B">
        <w:t>, e nas demais áreas do saber</w:t>
      </w:r>
      <w:r>
        <w:t xml:space="preserve">. Atualmente, há uma indefinição conceitual da expressão “dignidade da pessoa humana”, que ocasiona uma série de problemas na aplicação dos direitos humanos, bem como sua utilização de forma indiscriminada e incorreta. </w:t>
      </w:r>
    </w:p>
    <w:p w14:paraId="354D5B7F" w14:textId="77777777" w:rsidR="00D209B2" w:rsidRDefault="00DB7F8B" w:rsidP="00D209B2">
      <w:pPr>
        <w:pStyle w:val="corpo"/>
      </w:pPr>
      <w:r>
        <w:t>A dita indefinição conceitual ganha imensa relevância no Brasil, uma vez que h</w:t>
      </w:r>
      <w:r w:rsidR="00D209B2">
        <w:t xml:space="preserve">á uma certa obscuridade no conceito de dignidade da pessoa humana que provoca uma ambiguidade de entendimentos nas discussões mais polêmicas a respeito. A exemplo do aborto, da eutanásia e inclusive da filiação biológica e socioafetiva, uma vez que os dois lados invocam a dignidade da pessoa humana. A título de exemplo, </w:t>
      </w:r>
      <w:proofErr w:type="spellStart"/>
      <w:r w:rsidR="00D209B2">
        <w:t>Luis</w:t>
      </w:r>
      <w:proofErr w:type="spellEnd"/>
      <w:r w:rsidR="00D209B2">
        <w:t xml:space="preserve"> Roberto Barroso, em sua obra, demonstra de forma jurisprudencial a utilização indiscriminada do princípio da dignidade da pessoa humana, em situações que dispensariam a fundamentação nesse princípio.</w:t>
      </w:r>
    </w:p>
    <w:p w14:paraId="73BBE330" w14:textId="77777777" w:rsidR="00D209B2" w:rsidRDefault="00D209B2" w:rsidP="00D209B2">
      <w:pPr>
        <w:pStyle w:val="corpo"/>
      </w:pPr>
      <w:r>
        <w:t>A Ação Direta de Inconstitucionalidade</w:t>
      </w:r>
      <w:r>
        <w:rPr>
          <w:rStyle w:val="Refdenotaderodap"/>
        </w:rPr>
        <w:footnoteReference w:id="12"/>
      </w:r>
      <w:r>
        <w:t xml:space="preserve"> envolvendo “briga de galo” discutiu</w:t>
      </w:r>
      <w:r w:rsidR="00DB7F8B">
        <w:t xml:space="preserve"> no âmbito do Supremo Tribunal Federal brasileiro</w:t>
      </w:r>
      <w:r>
        <w:t xml:space="preserve"> a constitucionalidade de uma Lei estadual do Rio de Janeiro que permitia a competição entre aves combatentes, em especial a briga de galo. Mencionada ADI foi julgada procedente com a declaração de inconstitucionalidade da Lei estadual por violar a legislação ambiental, já que se trata de práticas criminosas e contraria a Constituição Federal, que veda a submissão de animais a atos cruéis, em seu artigo 225, caput e parágrafo 1º, inciso VII.</w:t>
      </w:r>
    </w:p>
    <w:p w14:paraId="0A07904B" w14:textId="77777777" w:rsidR="00D209B2" w:rsidRDefault="00D209B2" w:rsidP="00D209B2">
      <w:pPr>
        <w:pStyle w:val="corpo"/>
      </w:pPr>
      <w:r>
        <w:t xml:space="preserve">O destaque no julgamento da ADI foi uma discussão em plenário do Ministro Cezar </w:t>
      </w:r>
      <w:proofErr w:type="spellStart"/>
      <w:r>
        <w:t>Peluso</w:t>
      </w:r>
      <w:proofErr w:type="spellEnd"/>
      <w:r>
        <w:t>, que defendeu a inconstitucionalidade da lei estadual com fundamento no princípio da dignidade da pessoa humana.</w:t>
      </w:r>
    </w:p>
    <w:p w14:paraId="5F37376E" w14:textId="77777777" w:rsidR="00D209B2" w:rsidRDefault="00D209B2" w:rsidP="00D209B2">
      <w:pPr>
        <w:pStyle w:val="corpo"/>
      </w:pPr>
    </w:p>
    <w:p w14:paraId="64565AEA" w14:textId="3C2D7B12" w:rsidR="00D209B2" w:rsidRPr="002870B9" w:rsidRDefault="00D209B2" w:rsidP="002870B9">
      <w:pPr>
        <w:pStyle w:val="corpo"/>
        <w:spacing w:line="240" w:lineRule="auto"/>
        <w:ind w:left="2268" w:firstLine="0"/>
        <w:rPr>
          <w:sz w:val="20"/>
          <w:szCs w:val="20"/>
        </w:rPr>
      </w:pPr>
      <w:r w:rsidRPr="002870B9">
        <w:rPr>
          <w:sz w:val="20"/>
          <w:szCs w:val="20"/>
        </w:rPr>
        <w:t>Com respeito devido e merecido, proibir a briga de galo com base no princípio da dignidade da pessoa humana afigura-se um uso alargado em demais do princípio. O que poderia ter sido suscitado, isso sim, seria o reconhecimento de dignidade aos animais. Uma dignidade que, naturalmente, não é humana nem deve ser aferida por seu reflexo sobre as pessoas humanas, mas pelo fato dos animais, como seres vivos, terem uma dignidade intrínseca e própria</w:t>
      </w:r>
      <w:r w:rsidRPr="002870B9">
        <w:rPr>
          <w:rStyle w:val="Refdenotaderodap"/>
          <w:sz w:val="20"/>
          <w:szCs w:val="20"/>
        </w:rPr>
        <w:footnoteReference w:id="13"/>
      </w:r>
      <w:r w:rsidRPr="002870B9">
        <w:rPr>
          <w:sz w:val="20"/>
          <w:szCs w:val="20"/>
        </w:rPr>
        <w:t xml:space="preserve">.   </w:t>
      </w:r>
    </w:p>
    <w:p w14:paraId="5FEAA8AF" w14:textId="77777777" w:rsidR="00D209B2" w:rsidRDefault="00D209B2" w:rsidP="00D209B2">
      <w:pPr>
        <w:pStyle w:val="corpo"/>
      </w:pPr>
    </w:p>
    <w:p w14:paraId="48562E12" w14:textId="77777777" w:rsidR="00D209B2" w:rsidRDefault="00D209B2" w:rsidP="00D209B2">
      <w:pPr>
        <w:pStyle w:val="corpo"/>
      </w:pPr>
      <w:r>
        <w:t>Esse é um caso que demonstra a forma como o princípio da dignidade da pessoa humana vem sendo abordado no Poder Judiciário brasileiro, de forma indiscriminada e impensada, comprometendo seu real significado e prejudicando sua aplicação.</w:t>
      </w:r>
    </w:p>
    <w:p w14:paraId="2D3242FB" w14:textId="77777777" w:rsidR="00D209B2" w:rsidRDefault="00D209B2" w:rsidP="00D209B2">
      <w:pPr>
        <w:pStyle w:val="corpo"/>
      </w:pPr>
      <w:r>
        <w:t xml:space="preserve">O direito das famílias está intimamente ligado aos direitos humanos, o que torna o princípio da dignidade da pessoa humana um dos princípios que dão sustentação, garantia e equilíbrio para uma relação harmoniosa no convívio familiar. A dignidade da pessoa humana não é utilizada apenas para a constituição familiar, mas também para embasar a desconstituição da entidade formada. Para </w:t>
      </w:r>
      <w:proofErr w:type="spellStart"/>
      <w:r>
        <w:t>Luis</w:t>
      </w:r>
      <w:proofErr w:type="spellEnd"/>
      <w:r>
        <w:t xml:space="preserve"> Roberto Barroso é um direito amparado pela constituição a busca da felicidade pelo ser humano e, assim, pôr fim àquilo que o aflige sem ter que motivar. Assim, o término de uma relação conjugal através do divórcio está amparado no princípio da dignidade humana, e não se justifica a resistência do Estado antigamente, em que se exigia prazos e a exposição de causas para colocar fim ao casamento</w:t>
      </w:r>
      <w:r>
        <w:rPr>
          <w:rStyle w:val="Refdenotaderodap"/>
        </w:rPr>
        <w:footnoteReference w:id="14"/>
      </w:r>
      <w:r>
        <w:t xml:space="preserve">.   </w:t>
      </w:r>
    </w:p>
    <w:p w14:paraId="7C4053DF" w14:textId="77777777" w:rsidR="00D209B2" w:rsidRDefault="00D209B2" w:rsidP="00D209B2">
      <w:pPr>
        <w:pStyle w:val="corpo"/>
      </w:pPr>
      <w:r>
        <w:t>Traçando um paralelo com a relação familiar, a família em sua essência não se extingue, mas seu conceito jurídico passa por várias transformações, a fim de se adequar à realidade social, e por isso percebe-se a importância do princípio em questão. Nesses termos, analisando a aplicabilidade do princípio da dignidade da pessoa humana dentro do Direito privado, verifica-se que, dentro do Direito de Família, ele é fulcral para resolver as questões práticas a ele atinentes.</w:t>
      </w:r>
    </w:p>
    <w:p w14:paraId="4ADE9729" w14:textId="77777777" w:rsidR="00D209B2" w:rsidRDefault="00D209B2" w:rsidP="00D209B2">
      <w:pPr>
        <w:pStyle w:val="corpo"/>
      </w:pPr>
      <w:r>
        <w:t>Ademais, o Registro Civil das Pessoas Naturais</w:t>
      </w:r>
      <w:r w:rsidR="009C413F">
        <w:t>, no Brasil, e as Conservatórias, em Portugal,</w:t>
      </w:r>
      <w:r>
        <w:t xml:space="preserve"> t</w:t>
      </w:r>
      <w:r w:rsidR="009C413F">
        <w:t>ê</w:t>
      </w:r>
      <w:r>
        <w:t>m relevante papel na garantia da dignidade da pessoa humana, visto que tem participação em todos os momentos da vida do indivíduo, assegurando a publicidade, segurança e eficácia aos aspectos da vida humana. A documentação expedida por ess</w:t>
      </w:r>
      <w:r w:rsidR="00F27282">
        <w:t>as entidades</w:t>
      </w:r>
      <w:r>
        <w:t xml:space="preserve"> possibilita o efetivo exercício da cidadania ao indivíduo, na medida que essa documentação dá o suporte necessário aos demais documentos imprescindíveis durante a vida para o exercício de direitos e deveres na vida civil.</w:t>
      </w:r>
    </w:p>
    <w:p w14:paraId="5859D131" w14:textId="77777777" w:rsidR="003D2E58" w:rsidRPr="004B07D3" w:rsidRDefault="003D2E58" w:rsidP="004B07D3">
      <w:pPr>
        <w:rPr>
          <w:rFonts w:cs="Times New Roman"/>
          <w:b w:val="0"/>
        </w:rPr>
      </w:pPr>
    </w:p>
    <w:p w14:paraId="08BB21B7" w14:textId="77777777" w:rsidR="004B07D3" w:rsidRDefault="00A026A5" w:rsidP="004B07D3">
      <w:pPr>
        <w:pStyle w:val="Ttulo3"/>
        <w:rPr>
          <w:b/>
          <w:bCs/>
          <w:szCs w:val="24"/>
        </w:rPr>
      </w:pPr>
      <w:bookmarkStart w:id="19" w:name="_Toc28034641"/>
      <w:r>
        <w:rPr>
          <w:b/>
          <w:bCs/>
          <w:szCs w:val="24"/>
        </w:rPr>
        <w:t>Princípio da Proteção especial à família</w:t>
      </w:r>
      <w:bookmarkEnd w:id="19"/>
    </w:p>
    <w:p w14:paraId="0E0925F3" w14:textId="77777777" w:rsidR="00707891" w:rsidRDefault="00707891" w:rsidP="00707891"/>
    <w:p w14:paraId="1001A529" w14:textId="041F0113" w:rsidR="00707891" w:rsidRDefault="00707891" w:rsidP="00707891">
      <w:pPr>
        <w:pStyle w:val="corpo"/>
      </w:pPr>
      <w:r>
        <w:t xml:space="preserve">O princípio da proteção especial à família impõe ao Estado o dever de promover o bem-estar da família, garantindo a ela prestações materiais, bem como não interferindo em sua organização, a qual incumbe única e exclusivamente aos </w:t>
      </w:r>
      <w:r w:rsidR="00B22282">
        <w:t xml:space="preserve">seus </w:t>
      </w:r>
      <w:r>
        <w:t>responsáveis</w:t>
      </w:r>
      <w:r w:rsidR="00B22282">
        <w:t>.</w:t>
      </w:r>
    </w:p>
    <w:p w14:paraId="2A29CD1E" w14:textId="77777777" w:rsidR="00707891" w:rsidRPr="0005076F" w:rsidRDefault="00707891" w:rsidP="00707891">
      <w:pPr>
        <w:pStyle w:val="corpo"/>
      </w:pPr>
      <w:r>
        <w:t xml:space="preserve">Nesse sentido, </w:t>
      </w:r>
      <w:proofErr w:type="spellStart"/>
      <w:r w:rsidR="00DF7CBF">
        <w:t>Aliomar</w:t>
      </w:r>
      <w:proofErr w:type="spellEnd"/>
      <w:r w:rsidR="00DF7CBF">
        <w:t xml:space="preserve"> Baleeiro</w:t>
      </w:r>
      <w:r>
        <w:rPr>
          <w:rStyle w:val="Refdenotaderodap"/>
        </w:rPr>
        <w:footnoteReference w:id="15"/>
      </w:r>
      <w:r w:rsidR="00DF7CBF">
        <w:t xml:space="preserve"> leciona que a proteção especial do Estado vem tanto de ações positivas quanto das negativas, em que há abstenções e não-interferência. Para ele é preciso que haja normas de proteção, positivas ou negativas, nos ramos do Direito Civil, Tributário e Previdenciário. Além disso, é necessário que se respeitem os princípios de liberdade e autonomia individual, a </w:t>
      </w:r>
      <w:proofErr w:type="spellStart"/>
      <w:r w:rsidR="00DF7CBF">
        <w:t>polimorfia</w:t>
      </w:r>
      <w:proofErr w:type="spellEnd"/>
      <w:r w:rsidR="00DF7CBF">
        <w:t xml:space="preserve"> social e a intrínseca peculiaridade das uniões de fato, das famílias no casamento, e das outras formas de família</w:t>
      </w:r>
    </w:p>
    <w:p w14:paraId="20AECCB8" w14:textId="77777777" w:rsidR="00707891" w:rsidRDefault="00707891" w:rsidP="00707891">
      <w:pPr>
        <w:pStyle w:val="corpo"/>
      </w:pPr>
      <w:r>
        <w:t>O princípio da proteção especial à família está previsto expressamente no caput do artigo 226, da Constituição Federal brasileira, e nos artigos 67° e 68°, da Constituição da República Portuguesa. O artigo 226, da CFB nos revela que o Estado deve assegurar a permanência da instituição família como núcleo de desenvolvimento da personalidade humana e de promoção dos direitos fundamentais de seus membros, obstando as ações supressivas ou reducionistas que atinjam o núcleo mínimo essencial</w:t>
      </w:r>
      <w:r>
        <w:rPr>
          <w:rStyle w:val="Refdenotaderodap"/>
        </w:rPr>
        <w:footnoteReference w:id="16"/>
      </w:r>
      <w:r>
        <w:t>.</w:t>
      </w:r>
    </w:p>
    <w:p w14:paraId="6CF079FF" w14:textId="77777777" w:rsidR="00707891" w:rsidRDefault="00707891" w:rsidP="00707891">
      <w:pPr>
        <w:pStyle w:val="corpo"/>
      </w:pPr>
      <w:r>
        <w:t xml:space="preserve">Aludido princípio fundamental engloba várias normas dentro da Constituição Brasileira que garantem à família, além de seu status de instituição jurídica, também os direitos sociais, direito à alimentação, ao lazer, à moradia, à saúde, à assistência social e à previdência social. </w:t>
      </w:r>
    </w:p>
    <w:p w14:paraId="60850C98" w14:textId="77777777" w:rsidR="00707891" w:rsidRDefault="00707891" w:rsidP="00707891">
      <w:pPr>
        <w:pStyle w:val="corpo"/>
      </w:pPr>
      <w:r>
        <w:t>Em contrapartida, a Constituição Portuguesa sistematiza a proteção da família de forma mais organizada. Ela elenca de forma exaustiva em seu artigo 67, os direitos da família e os deveres impostos ao Estado e à sociedade para a proteção e efetivação de todas as condições que permitam a realização pessoal de seus membros, tais como a promoção da independência social e econômica dos agregados familiares, a cooperação dos pais na educação dos filhos, a garantia ao acesso a uma rede nacional de creches, entre outros.</w:t>
      </w:r>
    </w:p>
    <w:p w14:paraId="6B40FEDB" w14:textId="77777777" w:rsidR="00707891" w:rsidRPr="005371FA" w:rsidRDefault="00707891" w:rsidP="00707891">
      <w:pPr>
        <w:pStyle w:val="corpo"/>
      </w:pPr>
      <w:r>
        <w:t>Além disso, o artigo 68°, da CRP consagra o princípio da proteção da família no domínio da paternidade e maternidade, mencionando que os pais e as mães têm direito à proteção da sociedade e do Estado, quando da realização de sua ação em relação aos filhos (n° 1); e a maternidade e paternidade constituem “valores sociais eminentes” (n° 2).</w:t>
      </w:r>
    </w:p>
    <w:p w14:paraId="377DF705" w14:textId="77777777" w:rsidR="004B07D3" w:rsidRPr="004B07D3" w:rsidRDefault="004B07D3" w:rsidP="004B07D3">
      <w:pPr>
        <w:rPr>
          <w:rFonts w:cs="Times New Roman"/>
          <w:b w:val="0"/>
        </w:rPr>
      </w:pPr>
    </w:p>
    <w:p w14:paraId="767A3E2D" w14:textId="77777777" w:rsidR="004B07D3" w:rsidRDefault="00A026A5" w:rsidP="004B07D3">
      <w:pPr>
        <w:pStyle w:val="Ttulo3"/>
        <w:rPr>
          <w:b/>
          <w:bCs/>
          <w:szCs w:val="24"/>
        </w:rPr>
      </w:pPr>
      <w:bookmarkStart w:id="21" w:name="_Toc28034642"/>
      <w:r>
        <w:rPr>
          <w:b/>
          <w:bCs/>
          <w:szCs w:val="24"/>
        </w:rPr>
        <w:t>Princípio da Solidariedade</w:t>
      </w:r>
      <w:bookmarkEnd w:id="21"/>
    </w:p>
    <w:p w14:paraId="4AB02980" w14:textId="77777777" w:rsidR="007258CB" w:rsidRDefault="007258CB" w:rsidP="007258CB"/>
    <w:p w14:paraId="6334F5BB" w14:textId="77777777" w:rsidR="007258CB" w:rsidRDefault="007258CB" w:rsidP="007258CB">
      <w:pPr>
        <w:pStyle w:val="corpo"/>
      </w:pPr>
      <w:r>
        <w:t>O princípio da solidariedade está intimamente ligado ao princípio da dignidade da pessoa humana, ampliando os direitos fundamentais pertinentes ao indivíduo. Da desigualdade entre os povos e da injustiça social nasce o princípio da solidariedade, vislumbrado no artigo 3º, inciso I, da Constituição Federal Brasileira de 1988, externando os preceitos fundamentais da Revolução Francesa do século XVIII.</w:t>
      </w:r>
    </w:p>
    <w:p w14:paraId="01C3E5CC" w14:textId="4AF8236D" w:rsidR="007258CB" w:rsidRDefault="007258CB" w:rsidP="007258CB">
      <w:pPr>
        <w:pStyle w:val="corpo"/>
      </w:pPr>
      <w:r>
        <w:t xml:space="preserve">Direitos da solidariedade correspondem aos direitos sociais, econômicos e culturais, estabelecidos pela Constituição Federal. Esse princípio está espalhado pelo Código Civil brasileiro de 2002, e diretamente ligado às relações familiares, interligando a afetividade e a prestação de assistência aos que mais necessitem dentro do elo familiar. A solidariedade no Direito brasileiro se consagrou como princípio jurídico </w:t>
      </w:r>
      <w:r w:rsidR="006440D8">
        <w:t>constitucional</w:t>
      </w:r>
      <w:r>
        <w:t xml:space="preserve">, </w:t>
      </w:r>
      <w:r w:rsidR="006440D8">
        <w:t>em razão d</w:t>
      </w:r>
      <w:r>
        <w:t>a proteção familiar no artigo 236, à criança e ao adolescente no artigo 227, e também às pessoas idosas no artigo 230.</w:t>
      </w:r>
    </w:p>
    <w:p w14:paraId="535374F0" w14:textId="77777777" w:rsidR="007258CB" w:rsidRDefault="007258CB" w:rsidP="007258CB">
      <w:pPr>
        <w:pStyle w:val="corpo"/>
      </w:pPr>
      <w:r>
        <w:t>O princípio da solidariedade é mais amplo na medida em que valoriza o liame obrigacional aplicável entre indivíduos, Estado e sociedade, respeitando o fundamento na dignidade da pessoa humana. A solidariedade familiar está estampada no Código civil brasileiro de 2002 e garante aos membros familiares o direito e o dever de cooperação entre si, ou seja, há direito e dever de cada ente familiar com os demais, no intuito de uma construção harmônica de toda a família em suas dignidades. O princípio da solidariedade familiar entre outras funções justifica-se pelo dever mútuo de assistência entre os parentes, cônjuges ou companheiros, conforme determina o artigo 1.694 do Código civil brasileiro.</w:t>
      </w:r>
    </w:p>
    <w:p w14:paraId="43B9ED03" w14:textId="77777777" w:rsidR="007258CB" w:rsidRDefault="007258CB" w:rsidP="007258CB">
      <w:pPr>
        <w:pStyle w:val="corpo"/>
      </w:pPr>
      <w:r>
        <w:t>A título de exemplo, o Tribunal de Justiça do Rio Grande do Sul aplicou o princípio da solidariedade em um Recurso de Apelação que envolve alimentos entre irmãos. A apelação teve provimento negado por unanimidade dos desembargadores integrantes da 8ª Câmara Cível do Tribunal de Justiça do Estado:</w:t>
      </w:r>
    </w:p>
    <w:p w14:paraId="4EC6640E" w14:textId="77777777" w:rsidR="007258CB" w:rsidRDefault="007258CB" w:rsidP="0053758C">
      <w:pPr>
        <w:pStyle w:val="corpo"/>
        <w:tabs>
          <w:tab w:val="clear" w:pos="4252"/>
          <w:tab w:val="clear" w:pos="8504"/>
        </w:tabs>
      </w:pPr>
    </w:p>
    <w:p w14:paraId="2BF9505E" w14:textId="1705D3C3" w:rsidR="007258CB" w:rsidRPr="0032059F" w:rsidRDefault="007258CB" w:rsidP="0032059F">
      <w:pPr>
        <w:pStyle w:val="corpo"/>
        <w:spacing w:line="240" w:lineRule="auto"/>
        <w:ind w:left="2268" w:firstLine="0"/>
        <w:rPr>
          <w:sz w:val="20"/>
          <w:szCs w:val="20"/>
        </w:rPr>
      </w:pPr>
      <w:r w:rsidRPr="0032059F">
        <w:rPr>
          <w:sz w:val="20"/>
          <w:szCs w:val="20"/>
        </w:rPr>
        <w:t xml:space="preserve">O princípio da solidariedade familiar enseja o pedido de alimentos entre irmãos. O fato </w:t>
      </w:r>
      <w:proofErr w:type="gramStart"/>
      <w:r w:rsidRPr="0032059F">
        <w:rPr>
          <w:sz w:val="20"/>
          <w:szCs w:val="20"/>
        </w:rPr>
        <w:t>do</w:t>
      </w:r>
      <w:proofErr w:type="gramEnd"/>
      <w:r w:rsidRPr="0032059F">
        <w:rPr>
          <w:sz w:val="20"/>
          <w:szCs w:val="20"/>
        </w:rPr>
        <w:t xml:space="preserve"> alimentando ser incapaz para os atos da vida civil e estar em situação de vulnerabilidade justifica o pleito direcionado contra a única parente possível: a irmã. Atento às possibilidades da irmã-alimentante, correto o juízo singular que fixa alimentos em valor equivalente a 30% do salário mínimo destinados ao irmão incapaz</w:t>
      </w:r>
      <w:r w:rsidRPr="0032059F">
        <w:rPr>
          <w:rStyle w:val="Refdenotaderodap"/>
          <w:sz w:val="20"/>
          <w:szCs w:val="20"/>
        </w:rPr>
        <w:footnoteReference w:id="17"/>
      </w:r>
      <w:r w:rsidRPr="0032059F">
        <w:rPr>
          <w:sz w:val="20"/>
          <w:szCs w:val="20"/>
        </w:rPr>
        <w:t xml:space="preserve">.     </w:t>
      </w:r>
    </w:p>
    <w:p w14:paraId="168CF37A" w14:textId="77777777" w:rsidR="007258CB" w:rsidRDefault="007258CB" w:rsidP="007258CB">
      <w:pPr>
        <w:pStyle w:val="corpo"/>
      </w:pPr>
      <w:r>
        <w:t xml:space="preserve">  </w:t>
      </w:r>
    </w:p>
    <w:p w14:paraId="3865542E" w14:textId="77777777" w:rsidR="007258CB" w:rsidRDefault="007258CB" w:rsidP="007258CB">
      <w:pPr>
        <w:pStyle w:val="corpo"/>
      </w:pPr>
      <w:r>
        <w:t xml:space="preserve">Os componentes familiares, em regra, são credores e devedores de alimentos mutuamente. Assim, a exigência de alimentos entre parentes, cônjuges ou companheiros consubstancia o princípio da solidariedade familiar. Quando o Código civil brasileiro, em seu artigo 1.511 preconiza que o casamento institui a plena comunhão de vidas, também consagra o princípio da solidariedade. É importante destacar ainda que a solidariedade interpretada nesse princípio não é apenas patrimonial, é também afetiva e psicológica, em que é irrelevante o convívio, já que a solidariedade familiar não exige troca de afeto ou até mesmo presença física. </w:t>
      </w:r>
    </w:p>
    <w:p w14:paraId="225B3FC8" w14:textId="77777777" w:rsidR="00224219" w:rsidRDefault="007258CB" w:rsidP="007258CB">
      <w:pPr>
        <w:pStyle w:val="corpo"/>
      </w:pPr>
      <w:r>
        <w:t>Sua consequência primordial é gerar deveres recíprocos entre os membros da família. Para Maria Berenice Dias</w:t>
      </w:r>
      <w:r w:rsidR="00224219">
        <w:t>,</w:t>
      </w:r>
      <w:r>
        <w:t xml:space="preserve"> </w:t>
      </w:r>
    </w:p>
    <w:p w14:paraId="21AA91AF" w14:textId="77777777" w:rsidR="00224219" w:rsidRDefault="00224219" w:rsidP="007258CB">
      <w:pPr>
        <w:pStyle w:val="corpo"/>
      </w:pPr>
    </w:p>
    <w:p w14:paraId="27A398A1" w14:textId="1F6FC13B" w:rsidR="007258CB" w:rsidRDefault="00C369F3" w:rsidP="00224219">
      <w:pPr>
        <w:pStyle w:val="SemEspaamento"/>
      </w:pPr>
      <w:r>
        <w:t>A</w:t>
      </w:r>
      <w:r w:rsidR="007258CB">
        <w:t>o gerar deveres recíprocos entre integrantes do grupo familiar, safa-se o Estado do encargo de prover toda gama de direitos que são assegurados constitucionalmente ao cidadão. Basta atentar que, em se tratando de crianças e de adolescentes é atribuído primeiro à família, depois à sociedade e finalmente ao Estado o dever de garantir com absoluta prioridade os direitos inerentes aos cidadãos em formação (Constituição Federal 227). A mesma ordem é repetida na proteção ao idoso (Constituição Federal 230)</w:t>
      </w:r>
      <w:r w:rsidR="007258CB">
        <w:rPr>
          <w:rStyle w:val="Refdenotaderodap"/>
        </w:rPr>
        <w:footnoteReference w:id="18"/>
      </w:r>
      <w:r w:rsidR="007258CB">
        <w:t xml:space="preserve">. </w:t>
      </w:r>
    </w:p>
    <w:p w14:paraId="4A2318DA" w14:textId="77777777" w:rsidR="00224219" w:rsidRDefault="00224219" w:rsidP="007258CB">
      <w:pPr>
        <w:pStyle w:val="corpo"/>
      </w:pPr>
    </w:p>
    <w:p w14:paraId="3F7D3E29" w14:textId="77777777" w:rsidR="007258CB" w:rsidRDefault="007258CB" w:rsidP="007258CB">
      <w:pPr>
        <w:pStyle w:val="corpo"/>
      </w:pPr>
      <w:r>
        <w:t>Assim, o princípio da solidariedade influencia o Direito de Família, solidificando as relações familiares, na medida em que supera o individualismo jurídico, e que marca a transformação de um Estado liberal e individualista para um Estado democrático e social.</w:t>
      </w:r>
    </w:p>
    <w:p w14:paraId="42C67200" w14:textId="77777777" w:rsidR="004B07D3" w:rsidRPr="004B07D3" w:rsidRDefault="004B07D3" w:rsidP="004B07D3">
      <w:pPr>
        <w:rPr>
          <w:rFonts w:cs="Times New Roman"/>
          <w:b w:val="0"/>
        </w:rPr>
      </w:pPr>
    </w:p>
    <w:p w14:paraId="5210524D" w14:textId="77777777" w:rsidR="004B07D3" w:rsidRDefault="00A026A5" w:rsidP="004B07D3">
      <w:pPr>
        <w:pStyle w:val="Ttulo3"/>
        <w:rPr>
          <w:b/>
          <w:bCs/>
          <w:szCs w:val="24"/>
        </w:rPr>
      </w:pPr>
      <w:bookmarkStart w:id="22" w:name="_Toc28034643"/>
      <w:r>
        <w:rPr>
          <w:b/>
          <w:bCs/>
          <w:szCs w:val="24"/>
        </w:rPr>
        <w:t>Princípio da Igualdade ou da não discriminação dos filhos</w:t>
      </w:r>
      <w:bookmarkEnd w:id="22"/>
    </w:p>
    <w:p w14:paraId="573227D1" w14:textId="77777777" w:rsidR="002404FD" w:rsidRDefault="002404FD" w:rsidP="002404FD"/>
    <w:p w14:paraId="4D919D7F" w14:textId="77777777" w:rsidR="00633053" w:rsidRDefault="002404FD" w:rsidP="002404FD">
      <w:pPr>
        <w:pStyle w:val="corpo"/>
      </w:pPr>
      <w:r>
        <w:t>O princípio da igualdade vem explicitamente estabelecido no caput do artigo 5º da Constituição Federal Brasileira, e artigo 13 da Constituição da República Portuguesa. Tal princípio é acolhido na sua acepção formal e material com o objetivo de fortalecer o Estado de direito</w:t>
      </w:r>
      <w:r w:rsidR="001266BC">
        <w:t xml:space="preserve"> </w:t>
      </w:r>
      <w:r w:rsidR="00874F47">
        <w:t>democrático</w:t>
      </w:r>
      <w:r>
        <w:t xml:space="preserve">. </w:t>
      </w:r>
    </w:p>
    <w:p w14:paraId="203BFDEF" w14:textId="0762E9E5" w:rsidR="002404FD" w:rsidRDefault="002404FD" w:rsidP="002404FD">
      <w:pPr>
        <w:pStyle w:val="corpo"/>
      </w:pPr>
      <w:r>
        <w:t>Com garantia plena aos direitos básicos do indivíduo através do exercício dos direitos sociais e individuais, igualdade e justiça, como valores absolutos de uma sociedade fraterna e plural, o princípio da igualdade é um dos eixos de primordial importância ao Estado de Direito</w:t>
      </w:r>
      <w:r w:rsidR="00874F47">
        <w:t xml:space="preserve"> democrático</w:t>
      </w:r>
      <w:r>
        <w:t>.</w:t>
      </w:r>
      <w:r w:rsidR="00633053">
        <w:t xml:space="preserve"> </w:t>
      </w:r>
      <w:r>
        <w:t>Imprescindível trazer as considerações de Regina Maria Macedo Nery Ferrari</w:t>
      </w:r>
      <w:r>
        <w:rPr>
          <w:rStyle w:val="Refdenotaderodap"/>
        </w:rPr>
        <w:footnoteReference w:id="19"/>
      </w:r>
      <w:r>
        <w:t xml:space="preserve"> nesta oportunidade</w:t>
      </w:r>
    </w:p>
    <w:p w14:paraId="38899071" w14:textId="77777777" w:rsidR="002404FD" w:rsidRDefault="002404FD" w:rsidP="002404FD">
      <w:pPr>
        <w:pStyle w:val="SemEspaamento"/>
      </w:pPr>
    </w:p>
    <w:p w14:paraId="107717FE" w14:textId="2626CB70" w:rsidR="002404FD" w:rsidRPr="00B97BE9" w:rsidRDefault="002404FD" w:rsidP="002404FD">
      <w:pPr>
        <w:pStyle w:val="SemEspaamento"/>
      </w:pPr>
      <w:r w:rsidRPr="00B97BE9">
        <w:t>A grande dificuldade para entender o princípio da igualdade ou da isonomia decorre do fato de os homens não serem todos iguais, mas, ao mesmo tempo, iguais e desiguais: iguais pela sua natureza, desiguais pela diversidade de sua condição de vida, seja ela de ordem física, psicológica, moral, econômica, social etc. Essa desigualdade pode acarretar, por exemplo, situações diferentes no que diz respeito à instrução, à inteligência, à idade, à ascensão social. Segundo Aristóteles, a essência da igualdade consiste em tratar igualmente os iguais e desigualmente os desiguais, vale dizer: para concretizar a igualdade, que em princípio é abstrata, é preciso partir de critérios objetivos, sob pena de torn</w:t>
      </w:r>
      <w:r>
        <w:t>á</w:t>
      </w:r>
      <w:r w:rsidRPr="00B97BE9">
        <w:t xml:space="preserve">-lo um escudo de impunidade para a prática de arbitrariedades.  </w:t>
      </w:r>
    </w:p>
    <w:p w14:paraId="43E0360D" w14:textId="77777777" w:rsidR="002404FD" w:rsidRDefault="002404FD" w:rsidP="002404FD"/>
    <w:p w14:paraId="0B867534" w14:textId="77777777" w:rsidR="002404FD" w:rsidRDefault="002404FD" w:rsidP="002404FD">
      <w:pPr>
        <w:pStyle w:val="corpo"/>
      </w:pPr>
      <w:r>
        <w:t xml:space="preserve">A igualdade representa tratamento isonômico a todos os indivíduos na esfera social e está assegurada no sistema jurídico brasileiro e português. O princípio da igualdade se faz presente na Constituição Federal brasileira em seu preâmbulo e ao longo dos seus artigos, pelo qual ratifica sua real importância. Já a Constituição da República Portuguesa menciona expressamente sobre o princípio da igualdade em seu artigo 13, e mais especificamente sobre a igualdade no Direito de Família em seu artigo 36.  </w:t>
      </w:r>
    </w:p>
    <w:p w14:paraId="404B159F" w14:textId="36D8481E" w:rsidR="002404FD" w:rsidRDefault="002404FD" w:rsidP="002404FD">
      <w:pPr>
        <w:pStyle w:val="corpo"/>
      </w:pPr>
      <w:r>
        <w:t>A essencialidade do princípio da igualdade é renovada pelo artigo 5º da Constituição Federal brasileira em que “todos são iguais perante a lei”. Enfatiza nesse mesmo artigo, em seu inciso I, que “homens e mulheres são iguais em direitos e obrigações”, ressaltando essa igualdade de direitos e deveres de ambos perante a sociedade conjugal no artigo 226, parágrafo 5º. Esse preceito de igualdade conjugal</w:t>
      </w:r>
      <w:r w:rsidR="005879A7">
        <w:t>, atualmente,</w:t>
      </w:r>
      <w:r>
        <w:t xml:space="preserve"> aplica</w:t>
      </w:r>
      <w:r w:rsidR="005879A7">
        <w:t>-se</w:t>
      </w:r>
      <w:r>
        <w:t xml:space="preserve"> também às relações oriundas da união estável.</w:t>
      </w:r>
    </w:p>
    <w:p w14:paraId="1B89446A" w14:textId="020A49D9" w:rsidR="002404FD" w:rsidRDefault="002404FD" w:rsidP="002404FD">
      <w:pPr>
        <w:pStyle w:val="corpo"/>
      </w:pPr>
      <w:r>
        <w:t xml:space="preserve">O artigo 1.569 do Código civil brasileiro confere a ambos os consortes a possibilidade de decisão quanto ao domicílio </w:t>
      </w:r>
      <w:r w:rsidR="00E242FB">
        <w:t>conjugal</w:t>
      </w:r>
      <w:r>
        <w:t>,</w:t>
      </w:r>
      <w:r w:rsidR="00E242FB">
        <w:t xml:space="preserve"> sendo que essa</w:t>
      </w:r>
      <w:r>
        <w:t xml:space="preserve"> decisão </w:t>
      </w:r>
      <w:r w:rsidR="00E242FB">
        <w:t>anteriormente</w:t>
      </w:r>
      <w:r>
        <w:t xml:space="preserve"> cabia</w:t>
      </w:r>
      <w:r w:rsidR="00E242FB">
        <w:t xml:space="preserve"> apenas</w:t>
      </w:r>
      <w:r>
        <w:t xml:space="preserve"> ao homem. O artigo 1.567, parágrafo único também do Código civil, outorga a ambos o direito de recorrer ao poder judiciário no caso de divergência do casal sobre as questões essenciais ao interesse deles e dos filhos. </w:t>
      </w:r>
    </w:p>
    <w:p w14:paraId="7C124D34" w14:textId="77777777" w:rsidR="002404FD" w:rsidRDefault="002404FD" w:rsidP="002404FD">
      <w:pPr>
        <w:pStyle w:val="corpo"/>
      </w:pPr>
      <w:r>
        <w:t xml:space="preserve">Em Portugal, também existe a igualdade entre marido e mulher no âmbito das relações familiares, conforme o artigo 1671° do Código Civil Português. Nesse sentido também é a previsão do artigo 36°, n° 5, da CRP, em que ambos os pais, sem distinções, têm o direito-dever de educação e manutenção dos filhos. Nesse aspecto, a legislação brasileira e a portuguesa são muito semelhantes porque existe uma igualdade de direitos e deveres entre os cônjuges no casamento, e a direção da família cabe a ambos de forma igualitária. </w:t>
      </w:r>
    </w:p>
    <w:p w14:paraId="6528B4A8" w14:textId="4D7489CB" w:rsidR="002404FD" w:rsidRDefault="002404FD" w:rsidP="002404FD">
      <w:pPr>
        <w:pStyle w:val="corpo"/>
      </w:pPr>
      <w:r>
        <w:t xml:space="preserve">Ainda na relação familiar, o princípio da </w:t>
      </w:r>
      <w:r w:rsidR="00244921">
        <w:t xml:space="preserve">não discriminação </w:t>
      </w:r>
      <w:r>
        <w:t>veio fortalecer a igualdade jurídica entre os filhos. A Constituição Federal brasileira consagrou no seu artigo 227, parágrafo 6º, a paridade entre os filhos havidos no casamento</w:t>
      </w:r>
      <w:r w:rsidR="0003076A">
        <w:t xml:space="preserve"> ou não</w:t>
      </w:r>
      <w:r>
        <w:t xml:space="preserve">, </w:t>
      </w:r>
      <w:r w:rsidR="0081404E">
        <w:t xml:space="preserve">sendo que </w:t>
      </w:r>
      <w:r>
        <w:t xml:space="preserve">eram denominados </w:t>
      </w:r>
      <w:r w:rsidR="00CB03E8">
        <w:t>de</w:t>
      </w:r>
      <w:r>
        <w:t xml:space="preserve"> filhos legítimos e ilegítimos, respectivamente</w:t>
      </w:r>
      <w:r w:rsidR="0081404E">
        <w:t>, pelo revogado Código Civil de 1916</w:t>
      </w:r>
      <w:r>
        <w:t xml:space="preserve">. Esse artigo proíbe qualquer distinção entre os filhos, não importando inclusive se ele </w:t>
      </w:r>
      <w:r w:rsidR="0081404E">
        <w:t xml:space="preserve">é </w:t>
      </w:r>
      <w:r>
        <w:t>adotivo.</w:t>
      </w:r>
    </w:p>
    <w:p w14:paraId="65A7791B" w14:textId="77777777" w:rsidR="002404FD" w:rsidRDefault="002404FD" w:rsidP="002404FD">
      <w:pPr>
        <w:pStyle w:val="corpo"/>
        <w:rPr>
          <w:szCs w:val="24"/>
        </w:rPr>
      </w:pPr>
      <w:r>
        <w:t xml:space="preserve">O Código Civil brasileiro de 1916 distinguia os filhos em razão de sua origem e, em razão disso, fazia diferenciações relativamente aos seus direitos: </w:t>
      </w:r>
      <w:r>
        <w:rPr>
          <w:szCs w:val="24"/>
        </w:rPr>
        <w:t>a</w:t>
      </w:r>
      <w:r w:rsidRPr="00F325C3">
        <w:rPr>
          <w:szCs w:val="24"/>
        </w:rPr>
        <w:t>os filhos incestuosos e adulterinos não era possível o reconhecimento</w:t>
      </w:r>
      <w:r>
        <w:rPr>
          <w:szCs w:val="24"/>
        </w:rPr>
        <w:t xml:space="preserve"> de paternidade</w:t>
      </w:r>
      <w:r w:rsidRPr="00F325C3">
        <w:rPr>
          <w:szCs w:val="24"/>
        </w:rPr>
        <w:t>. Assim, almejava o legislador suprimir o adultério e o incesto.</w:t>
      </w:r>
    </w:p>
    <w:p w14:paraId="64DDE61C" w14:textId="4E09F3B4" w:rsidR="002404FD" w:rsidRDefault="002404FD" w:rsidP="002404FD">
      <w:pPr>
        <w:pStyle w:val="corpo"/>
        <w:rPr>
          <w:szCs w:val="24"/>
        </w:rPr>
      </w:pPr>
      <w:r>
        <w:rPr>
          <w:szCs w:val="24"/>
        </w:rPr>
        <w:t xml:space="preserve">Entretanto, após o Estatuto da criança e do adolescente (Lei n° 8.069/90) abriu-se a possibilidade de o reconhecimento ser feito por apenas um dos genitores, ou conjuntamente por ambos, quer se trate de filiação natural, adulterina ou incestuosa. O princípio da igualdade jurídica entre os filhos proíbe discriminações de qualquer espécie, impondo o reconhecimento e a mesma valorização do filho qualquer que seja </w:t>
      </w:r>
      <w:r w:rsidR="0003076A">
        <w:rPr>
          <w:szCs w:val="24"/>
        </w:rPr>
        <w:t>su</w:t>
      </w:r>
      <w:r>
        <w:rPr>
          <w:szCs w:val="24"/>
        </w:rPr>
        <w:t>a origem.</w:t>
      </w:r>
    </w:p>
    <w:p w14:paraId="4A982300" w14:textId="77777777" w:rsidR="00130928" w:rsidRDefault="002404FD" w:rsidP="002404FD">
      <w:pPr>
        <w:pStyle w:val="corpo"/>
        <w:rPr>
          <w:szCs w:val="24"/>
        </w:rPr>
      </w:pPr>
      <w:r w:rsidRPr="00F325C3">
        <w:rPr>
          <w:szCs w:val="24"/>
        </w:rPr>
        <w:t>Em resumo, pode-se afirmar que o reconhecimento d</w:t>
      </w:r>
      <w:r w:rsidR="00130928">
        <w:rPr>
          <w:szCs w:val="24"/>
        </w:rPr>
        <w:t>e</w:t>
      </w:r>
      <w:r w:rsidRPr="00F325C3">
        <w:rPr>
          <w:szCs w:val="24"/>
        </w:rPr>
        <w:t xml:space="preserve"> filho havido</w:t>
      </w:r>
      <w:r w:rsidR="00130928">
        <w:rPr>
          <w:szCs w:val="24"/>
        </w:rPr>
        <w:t xml:space="preserve"> </w:t>
      </w:r>
      <w:r w:rsidRPr="00F325C3">
        <w:rPr>
          <w:szCs w:val="24"/>
        </w:rPr>
        <w:t>ou não de</w:t>
      </w:r>
      <w:r>
        <w:rPr>
          <w:szCs w:val="24"/>
        </w:rPr>
        <w:t xml:space="preserve"> uma relação matrimonial</w:t>
      </w:r>
      <w:r w:rsidRPr="00F325C3">
        <w:rPr>
          <w:szCs w:val="24"/>
        </w:rPr>
        <w:t xml:space="preserve"> passou a ser </w:t>
      </w:r>
      <w:r w:rsidR="00CA68C5">
        <w:rPr>
          <w:szCs w:val="24"/>
        </w:rPr>
        <w:t xml:space="preserve">possível </w:t>
      </w:r>
      <w:r w:rsidRPr="00F325C3">
        <w:rPr>
          <w:szCs w:val="24"/>
        </w:rPr>
        <w:t xml:space="preserve">sem qualquer restrição ou exigência, quer pelo pai, quer pela mãe, </w:t>
      </w:r>
      <w:r w:rsidR="00CA68C5">
        <w:rPr>
          <w:szCs w:val="24"/>
        </w:rPr>
        <w:t>ou</w:t>
      </w:r>
      <w:r w:rsidRPr="00F325C3">
        <w:rPr>
          <w:szCs w:val="24"/>
        </w:rPr>
        <w:t xml:space="preserve"> por ambos.</w:t>
      </w:r>
      <w:r>
        <w:rPr>
          <w:szCs w:val="24"/>
        </w:rPr>
        <w:t xml:space="preserve"> </w:t>
      </w:r>
      <w:r w:rsidR="00130928">
        <w:rPr>
          <w:szCs w:val="24"/>
        </w:rPr>
        <w:t>Apenas</w:t>
      </w:r>
      <w:r w:rsidRPr="00F325C3">
        <w:rPr>
          <w:szCs w:val="24"/>
        </w:rPr>
        <w:t xml:space="preserve"> com </w:t>
      </w:r>
      <w:r w:rsidR="00130928">
        <w:rPr>
          <w:szCs w:val="24"/>
        </w:rPr>
        <w:t>a entrada em vigor d</w:t>
      </w:r>
      <w:r w:rsidRPr="00F325C3">
        <w:rPr>
          <w:szCs w:val="24"/>
        </w:rPr>
        <w:t>o C</w:t>
      </w:r>
      <w:r>
        <w:rPr>
          <w:szCs w:val="24"/>
        </w:rPr>
        <w:t xml:space="preserve">ódigo </w:t>
      </w:r>
      <w:r w:rsidRPr="00F325C3">
        <w:rPr>
          <w:szCs w:val="24"/>
        </w:rPr>
        <w:t>C</w:t>
      </w:r>
      <w:r>
        <w:rPr>
          <w:szCs w:val="24"/>
        </w:rPr>
        <w:t>ivil brasileiro de 20</w:t>
      </w:r>
      <w:r w:rsidRPr="00F325C3">
        <w:rPr>
          <w:szCs w:val="24"/>
        </w:rPr>
        <w:t xml:space="preserve">02 foi </w:t>
      </w:r>
      <w:r>
        <w:rPr>
          <w:szCs w:val="24"/>
        </w:rPr>
        <w:t>respeitado</w:t>
      </w:r>
      <w:r w:rsidR="00130928">
        <w:rPr>
          <w:szCs w:val="24"/>
        </w:rPr>
        <w:t xml:space="preserve"> </w:t>
      </w:r>
      <w:r w:rsidRPr="00F325C3">
        <w:rPr>
          <w:szCs w:val="24"/>
        </w:rPr>
        <w:t>o princípio da isonomia entre os filhos</w:t>
      </w:r>
      <w:r w:rsidR="00130928">
        <w:rPr>
          <w:szCs w:val="24"/>
        </w:rPr>
        <w:t>, de forma integral, sendo que n</w:t>
      </w:r>
      <w:r w:rsidRPr="00F325C3">
        <w:rPr>
          <w:szCs w:val="24"/>
        </w:rPr>
        <w:t>enhuma qualificação discriminatória é utilizada n</w:t>
      </w:r>
      <w:r w:rsidR="00130928">
        <w:rPr>
          <w:szCs w:val="24"/>
        </w:rPr>
        <w:t xml:space="preserve">esse </w:t>
      </w:r>
      <w:r w:rsidRPr="00F325C3">
        <w:rPr>
          <w:szCs w:val="24"/>
        </w:rPr>
        <w:t xml:space="preserve">diploma. </w:t>
      </w:r>
    </w:p>
    <w:p w14:paraId="1A61107C" w14:textId="5ECF1CFE" w:rsidR="002404FD" w:rsidRDefault="002404FD" w:rsidP="002404FD">
      <w:pPr>
        <w:pStyle w:val="corpo"/>
      </w:pPr>
      <w:r w:rsidRPr="00F325C3">
        <w:rPr>
          <w:szCs w:val="24"/>
        </w:rPr>
        <w:t>Assim, logo no primeiro art</w:t>
      </w:r>
      <w:r>
        <w:rPr>
          <w:szCs w:val="24"/>
        </w:rPr>
        <w:t xml:space="preserve">igo </w:t>
      </w:r>
      <w:r w:rsidRPr="00F325C3">
        <w:rPr>
          <w:szCs w:val="24"/>
        </w:rPr>
        <w:t>que abre a regulamentação das relações de filiação, repete o C</w:t>
      </w:r>
      <w:r>
        <w:rPr>
          <w:szCs w:val="24"/>
        </w:rPr>
        <w:t xml:space="preserve">ódigo </w:t>
      </w:r>
      <w:r w:rsidRPr="00F325C3">
        <w:rPr>
          <w:szCs w:val="24"/>
        </w:rPr>
        <w:t>C</w:t>
      </w:r>
      <w:r>
        <w:rPr>
          <w:szCs w:val="24"/>
        </w:rPr>
        <w:t>ivil</w:t>
      </w:r>
      <w:r w:rsidRPr="00F325C3">
        <w:rPr>
          <w:szCs w:val="24"/>
        </w:rPr>
        <w:t xml:space="preserve"> a regra constitucional, estabelecendo no art</w:t>
      </w:r>
      <w:r>
        <w:rPr>
          <w:szCs w:val="24"/>
        </w:rPr>
        <w:t xml:space="preserve">igo </w:t>
      </w:r>
      <w:r w:rsidRPr="00F325C3">
        <w:rPr>
          <w:szCs w:val="24"/>
        </w:rPr>
        <w:t>1.596 que “os filhos, havidos ou não da relação de casamento, ou por adoção, terão os mesmos direitos e qualificações, proibidas quaisquer designações discriminat</w:t>
      </w:r>
      <w:r>
        <w:rPr>
          <w:szCs w:val="24"/>
        </w:rPr>
        <w:t>ó</w:t>
      </w:r>
      <w:r w:rsidRPr="00F325C3">
        <w:rPr>
          <w:szCs w:val="24"/>
        </w:rPr>
        <w:t>rias relativas à filia</w:t>
      </w:r>
      <w:r>
        <w:rPr>
          <w:szCs w:val="24"/>
        </w:rPr>
        <w:t>çã</w:t>
      </w:r>
      <w:r w:rsidRPr="00F325C3">
        <w:rPr>
          <w:szCs w:val="24"/>
        </w:rPr>
        <w:t xml:space="preserve">o”. </w:t>
      </w:r>
    </w:p>
    <w:p w14:paraId="18C21FDE" w14:textId="6786FECF" w:rsidR="002404FD" w:rsidRDefault="00E33FC9" w:rsidP="002404FD">
      <w:pPr>
        <w:pStyle w:val="corpo"/>
      </w:pPr>
      <w:r>
        <w:t>E</w:t>
      </w:r>
      <w:r w:rsidR="002404FD">
        <w:t xml:space="preserve">m Portugal também vigora o Princípio da igualdade entre os filhos, pelo que se depreende do artigo 36°, n° 4, da CRP, que veda qualquer discriminação aos filhos nascidos fora do casamento. </w:t>
      </w:r>
      <w:r>
        <w:t xml:space="preserve">No direito lusitano, esse </w:t>
      </w:r>
      <w:r w:rsidR="002404FD">
        <w:t>princípio é mais conhecido como princípio à não discriminação dos filhos</w:t>
      </w:r>
      <w:r>
        <w:t>, e</w:t>
      </w:r>
      <w:r w:rsidR="002404FD">
        <w:t xml:space="preserve"> foi consagrado em Portugal em 1976, e concretizado em 1977 pelo Código Civil, no momento </w:t>
      </w:r>
      <w:r>
        <w:t>de sua reforma</w:t>
      </w:r>
      <w:r w:rsidR="002404FD">
        <w:t>.</w:t>
      </w:r>
    </w:p>
    <w:p w14:paraId="6A4D51AD" w14:textId="6328FB45" w:rsidR="002404FD" w:rsidRDefault="002404FD" w:rsidP="002404FD">
      <w:pPr>
        <w:pStyle w:val="corpo"/>
      </w:pPr>
      <w:r>
        <w:t xml:space="preserve">O princípio em comento proíbe o uso de designações discriminatórias, como filho ilegítimo, natural, entre outros. Não se pode mencionar em documento oficial o fato de ambos os pais, ou apenas um deles, serem solteiros, no momento do nascimento do filho. Embora o artigo 36° da CRP não faça menção aos filhos nascidos das técnicas de procriação medicamente assistida, estes </w:t>
      </w:r>
      <w:r w:rsidR="00E558F5">
        <w:t xml:space="preserve">também </w:t>
      </w:r>
      <w:r>
        <w:t>não podem ser discriminados em relação aos filhos nascidos por consequência de ato sexual, em razão do princípio geral da igualdade (artigo 13°, n° 1, da CRP).</w:t>
      </w:r>
    </w:p>
    <w:p w14:paraId="3343455F" w14:textId="42C41F7F" w:rsidR="00E8245A" w:rsidRDefault="00E8245A" w:rsidP="002404FD">
      <w:pPr>
        <w:pStyle w:val="corpo"/>
      </w:pPr>
      <w:r>
        <w:t>O direito que protege a igualdade entre os filhos contempla duas dimensões: a formal e a material. A dimensão formal proíbe que a lei e as repartições públicas utilizem-se de designações pejorativas, tais como filhos bastardos e ilegítimos, nos casos dos filhos</w:t>
      </w:r>
      <w:r w:rsidR="00D03FBB">
        <w:t xml:space="preserve"> oriundos de relações extra</w:t>
      </w:r>
      <w:r>
        <w:t>matrimonia</w:t>
      </w:r>
      <w:r w:rsidR="00D03FBB">
        <w:t>is</w:t>
      </w:r>
      <w:r>
        <w:t>.</w:t>
      </w:r>
      <w:r w:rsidR="006156E8">
        <w:t xml:space="preserve"> Já a dimensão material protege todos os filhos de qualquer discriminação</w:t>
      </w:r>
      <w:r w:rsidR="009902E4">
        <w:t>, não sendo possível aplicar vantagens ou d</w:t>
      </w:r>
      <w:r w:rsidR="006156E8">
        <w:t>esvantage</w:t>
      </w:r>
      <w:r w:rsidR="009902E4">
        <w:t xml:space="preserve">ns a um </w:t>
      </w:r>
      <w:r w:rsidR="006156E8">
        <w:t>ou outro descendente</w:t>
      </w:r>
      <w:r w:rsidR="006156E8">
        <w:rPr>
          <w:rStyle w:val="Refdenotaderodap"/>
        </w:rPr>
        <w:footnoteReference w:id="20"/>
      </w:r>
      <w:r w:rsidR="006156E8">
        <w:t>.</w:t>
      </w:r>
      <w:r>
        <w:t xml:space="preserve">     </w:t>
      </w:r>
    </w:p>
    <w:p w14:paraId="36C91A17" w14:textId="7EAD255A" w:rsidR="002404FD" w:rsidRDefault="002404FD" w:rsidP="002404FD">
      <w:pPr>
        <w:pStyle w:val="corpo"/>
      </w:pPr>
      <w:r>
        <w:t xml:space="preserve">No Brasil, mesmo antes da Constituição Federal de 1988, já havia proibições </w:t>
      </w:r>
      <w:r w:rsidR="00371D27">
        <w:t>em</w:t>
      </w:r>
      <w:r w:rsidR="00350FF4">
        <w:t xml:space="preserve"> determinadas </w:t>
      </w:r>
      <w:r w:rsidR="00371D27">
        <w:t xml:space="preserve">qualificações </w:t>
      </w:r>
      <w:r>
        <w:t>do filho nas certidões de nascimento, em razão do Decreto-lei n° 3.200/1941, a fim de se assegurar a plena igualdade a todos os filhos. Ademais, a Lei n° 8.560/1992, em seu artigo 5° proíbe a referência no assento de nascimento sobre a natureza da filiação, bem como ao lugar e cartório do casamento dos pais e ao estado civil destes. Em relação aos filhos reconhecidos, espontânea ou compulsoriamente, também não se fará a menção da qualificação e nem da Lei n° 8.560/1992.</w:t>
      </w:r>
    </w:p>
    <w:p w14:paraId="5BFAB042" w14:textId="726B660E" w:rsidR="002404FD" w:rsidRDefault="002404FD" w:rsidP="002404FD">
      <w:pPr>
        <w:pStyle w:val="corpo"/>
      </w:pPr>
      <w:r>
        <w:t xml:space="preserve">Há proibição </w:t>
      </w:r>
      <w:r w:rsidR="001B3F22">
        <w:t xml:space="preserve">a </w:t>
      </w:r>
      <w:r>
        <w:t>tod</w:t>
      </w:r>
      <w:r w:rsidR="001B3F22">
        <w:t>o tipo de</w:t>
      </w:r>
      <w:r>
        <w:t xml:space="preserve"> discriminação. A todos os filhos são reconhecidos iguais direitos. Não há mais motivo para se falar em filhos legítimos e ilegítimos, em naturais simples e adulterinos e incestuosos. Uma vez que se estabelece a plena igualdade, todos os status conferidos aos filhos desaparecem. Essa equiparação plena abrange a natureza da filiação, e consequentemente as condições pessoais, direitos aos alimentos e direitos sucessórios.</w:t>
      </w:r>
    </w:p>
    <w:p w14:paraId="3B48ADE4" w14:textId="471A9C20" w:rsidR="002404FD" w:rsidRDefault="002404FD" w:rsidP="002404FD">
      <w:pPr>
        <w:pStyle w:val="corpo"/>
      </w:pPr>
      <w:r>
        <w:t xml:space="preserve">O princípio da igualdade entre os filhos proíbe qualquer tipo de discriminação no Registro Civil, vedando qualquer disparidade em relação à filiação, </w:t>
      </w:r>
      <w:r w:rsidR="00DD72AB">
        <w:t xml:space="preserve">e </w:t>
      </w:r>
      <w:r>
        <w:t xml:space="preserve">permitindo o reconhecimento de filho a qualquer tempo. </w:t>
      </w:r>
    </w:p>
    <w:p w14:paraId="6E43DC77" w14:textId="77777777" w:rsidR="002404FD" w:rsidRDefault="002404FD" w:rsidP="002404FD"/>
    <w:p w14:paraId="3C6DBCDD" w14:textId="243E1AFD" w:rsidR="002404FD" w:rsidRDefault="002404FD" w:rsidP="002404FD">
      <w:pPr>
        <w:pStyle w:val="SemEspaamento"/>
      </w:pPr>
      <w:r>
        <w:t>Com efeito, por via do princípio da igualdade, o que a ordem jurídica pretende firmar é a impossibilidade de desequiparações fortuitas ou injustificadas. Para atingir esse bem, este valor absorvido pelo Direito, o sistema normativo concebeu fórmula hábil que interdita, o quanto possível, tais resultados, posto que, exigindo igualdade, assegura que os preceitos genéricos, os abstratos e atos concretos colham a todos sem especificações arbitrárias, assim proveitosas que detrimentosas para os atingidos</w:t>
      </w:r>
      <w:r>
        <w:rPr>
          <w:rStyle w:val="Refdenotaderodap"/>
        </w:rPr>
        <w:footnoteReference w:id="21"/>
      </w:r>
      <w:r w:rsidR="00CC1086">
        <w:t>.</w:t>
      </w:r>
      <w:r>
        <w:t xml:space="preserve"> </w:t>
      </w:r>
    </w:p>
    <w:p w14:paraId="58F33909" w14:textId="77777777" w:rsidR="002404FD" w:rsidRDefault="002404FD" w:rsidP="002404FD"/>
    <w:p w14:paraId="05DFE471" w14:textId="77777777" w:rsidR="002404FD" w:rsidRDefault="002404FD" w:rsidP="002404FD">
      <w:pPr>
        <w:pStyle w:val="corpo"/>
      </w:pPr>
      <w:r>
        <w:t xml:space="preserve">O princípio da igualdade dos filhos aboliu disposições distintivas, como a revogação do artigo 358 do Código Civil Brasileiro de 1916, por força da Lei n° 7.841/1989, que vedava o reconhecimento dos filhos incestuosos e adulterinos. Assim, essas expressões “incestuosos” e “adulterinos” perderam a razão de ser, e tornaram-se apenas reminiscência histórica. </w:t>
      </w:r>
    </w:p>
    <w:p w14:paraId="794B722D" w14:textId="37B09E6B" w:rsidR="002404FD" w:rsidRDefault="002404FD" w:rsidP="002404FD">
      <w:pPr>
        <w:pStyle w:val="corpo"/>
      </w:pPr>
      <w:r>
        <w:t xml:space="preserve">O princípio da igualdade garante uma uniformidade legal, respeitando a condição de cada indivíduo, evitando assim a autocracia estatal. Nesses termos, não se pode negar o direito ao reconhecimento da filiação socioafetiva, na medida em que ela </w:t>
      </w:r>
      <w:r w:rsidR="004C3E20">
        <w:t>deve ter</w:t>
      </w:r>
      <w:r>
        <w:t xml:space="preserve"> o mesmo valor jurídico que qualquer outra</w:t>
      </w:r>
      <w:r w:rsidR="004C3E20">
        <w:t>.</w:t>
      </w:r>
    </w:p>
    <w:p w14:paraId="5E683237" w14:textId="77777777" w:rsidR="003D2E58" w:rsidRPr="004B07D3" w:rsidRDefault="003D2E58" w:rsidP="004B07D3">
      <w:pPr>
        <w:rPr>
          <w:rFonts w:cs="Times New Roman"/>
          <w:b w:val="0"/>
        </w:rPr>
      </w:pPr>
    </w:p>
    <w:p w14:paraId="5E5B4A36" w14:textId="77777777" w:rsidR="004B07D3" w:rsidRDefault="00A026A5" w:rsidP="004B07D3">
      <w:pPr>
        <w:pStyle w:val="Ttulo3"/>
        <w:rPr>
          <w:b/>
          <w:bCs/>
          <w:szCs w:val="24"/>
        </w:rPr>
      </w:pPr>
      <w:bookmarkStart w:id="23" w:name="_Toc28034644"/>
      <w:r>
        <w:rPr>
          <w:b/>
          <w:bCs/>
          <w:szCs w:val="24"/>
        </w:rPr>
        <w:t>Princípio da Paternidade Responsável e Planejamento familiar</w:t>
      </w:r>
      <w:bookmarkEnd w:id="23"/>
    </w:p>
    <w:p w14:paraId="6F3AD879" w14:textId="77777777" w:rsidR="006A15CC" w:rsidRDefault="006A15CC" w:rsidP="006A15CC"/>
    <w:p w14:paraId="3F8F9883" w14:textId="4156C166" w:rsidR="006A15CC" w:rsidRDefault="006A15CC" w:rsidP="006A15CC">
      <w:pPr>
        <w:pStyle w:val="corpo"/>
      </w:pPr>
      <w:r>
        <w:t xml:space="preserve">O planejamento familiar está baseado em dois princípios primordiais: </w:t>
      </w:r>
      <w:r w:rsidR="00CE234E">
        <w:t xml:space="preserve">a </w:t>
      </w:r>
      <w:r>
        <w:t>dignidade da pessoa humana e a paternidade responsável. Até meados do século XX, a mulher era vista apenas como um instrumento de procriação, além de responsável integralmente pela educação da prole. Com os movimentos sociais de emancipação da mulher e após travar inúmeras batalhas para provar sua real importância na sociedade, a mulher avançou em relação à sua liberdade sexual</w:t>
      </w:r>
      <w:r w:rsidR="00154B0F">
        <w:t xml:space="preserve"> no âmbito da busca de igualdade de gênero</w:t>
      </w:r>
      <w:r>
        <w:t>, podendo inclusive optar pelo melhor momento da maternidade, ou até mesmo não querer ser mãe. Esse avanço ganhou força, principalmente com a descoberta da pílula anticoncepcional.</w:t>
      </w:r>
    </w:p>
    <w:p w14:paraId="02DAAB7E" w14:textId="77777777" w:rsidR="006A15CC" w:rsidRDefault="006A15CC" w:rsidP="006A15CC">
      <w:pPr>
        <w:pStyle w:val="corpo"/>
      </w:pPr>
      <w:r>
        <w:t>Em pleno século XXI, mesmo com toda evolução social, econômica e cultural, com o surgimento de novos métodos contraceptivos, com o espaço conquistado pela mulher, ainda não é possível afirmar que a mulher conquistou definitivamente sua total liberdade sexual, e os direitos sobre seu corpo. Assuntos como aborto, parto, concepção e contracepção ainda são grandes tabus na sociedade mundial, em especial na</w:t>
      </w:r>
      <w:r w:rsidR="00154B0F">
        <w:t>s</w:t>
      </w:r>
      <w:r>
        <w:t xml:space="preserve"> sociedade</w:t>
      </w:r>
      <w:r w:rsidR="00154B0F">
        <w:t>s</w:t>
      </w:r>
      <w:r>
        <w:t xml:space="preserve"> brasileira</w:t>
      </w:r>
      <w:r w:rsidR="00154B0F">
        <w:t xml:space="preserve"> e portuguesa</w:t>
      </w:r>
      <w:r>
        <w:t>. Entretanto, a nova visão constitucional colaborou para um melhor controle familiar.</w:t>
      </w:r>
    </w:p>
    <w:p w14:paraId="19F1A258" w14:textId="77777777" w:rsidR="006A15CC" w:rsidRDefault="006A15CC" w:rsidP="006A15CC">
      <w:pPr>
        <w:pStyle w:val="corpo"/>
      </w:pPr>
      <w:r>
        <w:t>O planejamento familiar está consolidado constitucionalmente no artigo 226, parágrafo 7º, da Constituição Federal brasileira, e também no Código Civil brasileiro, em seu artigo 1.565, parágrafo 2º.</w:t>
      </w:r>
    </w:p>
    <w:p w14:paraId="65EDCBD5" w14:textId="77777777" w:rsidR="006A15CC" w:rsidRDefault="006A15CC" w:rsidP="006A15CC">
      <w:pPr>
        <w:pStyle w:val="corpo"/>
      </w:pPr>
      <w:r>
        <w:t>Em Portugal, esse princípio é denominado de Princípio estruturante da titularidade e do exercício do poder paternal</w:t>
      </w:r>
      <w:r w:rsidR="00915B27">
        <w:t xml:space="preserve"> ou Princípio da atribuição aos pais do poder-dever de educação aos filhos</w:t>
      </w:r>
      <w:r>
        <w:t>, que está previsto no artigo 36, n° 3 e 5, da Constituição da República Portuguesa. Referido dispositivo traz de forma expressa a obrigatoriedade de manutenção e educação dos filhos aos pais de forma igualitária entre eles.</w:t>
      </w:r>
      <w:r w:rsidR="00915B27">
        <w:t xml:space="preserve"> Assim, o artigo 36, n °</w:t>
      </w:r>
      <w:r w:rsidR="00FA19D0">
        <w:t>3 e</w:t>
      </w:r>
      <w:r w:rsidR="00915B27">
        <w:t xml:space="preserve"> 5, CRP consagra a isonomia entre homem e mulher, na medida em que o poder paternal deve ser exercido pelo pai e mãe</w:t>
      </w:r>
      <w:r w:rsidR="008365A4">
        <w:t xml:space="preserve"> de forma isonômica.</w:t>
      </w:r>
      <w:r w:rsidRPr="008B214A">
        <w:rPr>
          <w:szCs w:val="24"/>
        </w:rPr>
        <w:t xml:space="preserve"> </w:t>
      </w:r>
    </w:p>
    <w:p w14:paraId="6EB18E41" w14:textId="18F91D19" w:rsidR="006A15CC" w:rsidRDefault="006A15CC" w:rsidP="006A15CC">
      <w:pPr>
        <w:pStyle w:val="corpo"/>
      </w:pPr>
      <w:r>
        <w:t xml:space="preserve">O princípio da paternidade responsável traz ao centro da questão o casal, </w:t>
      </w:r>
      <w:r w:rsidR="00154B0F">
        <w:t xml:space="preserve">em </w:t>
      </w:r>
      <w:r>
        <w:t xml:space="preserve">que </w:t>
      </w:r>
      <w:r w:rsidR="00154B0F">
        <w:t xml:space="preserve">os pais </w:t>
      </w:r>
      <w:r>
        <w:t>são os responsáveis pela paternidade ou maternidade assumidas. Nesse aspecto, o Estado se isenta de responsabilidades, mas</w:t>
      </w:r>
      <w:r w:rsidR="009341AB">
        <w:t>,</w:t>
      </w:r>
      <w:r>
        <w:t xml:space="preserve"> em relação ao compartilhamento da criação, proporciona recursos educacionais e científicos para o bom desenvolvimento do planejamento familiar. O poder de liberdade dad</w:t>
      </w:r>
      <w:r w:rsidR="009341AB">
        <w:t>o</w:t>
      </w:r>
      <w:r>
        <w:t xml:space="preserve"> ao casal na escolha da procriação se estende também para as reproduções assistidas, como a inseminação artificial, fecundação in vitro, gestação por substituição, entre outros.</w:t>
      </w:r>
    </w:p>
    <w:p w14:paraId="2CAB58B0" w14:textId="77777777" w:rsidR="006A15CC" w:rsidRDefault="006A15CC" w:rsidP="006A15CC">
      <w:pPr>
        <w:pStyle w:val="corpo"/>
      </w:pPr>
      <w:r>
        <w:t>O princípio da paternidade responsável está</w:t>
      </w:r>
      <w:r w:rsidR="00154B0F">
        <w:t xml:space="preserve"> previsto</w:t>
      </w:r>
      <w:r>
        <w:t xml:space="preserve"> de forma tácita no artigo 227 da Constituição Federal brasileira e de maneira explícita e objetiva no artigo 227 da Lei nº 8.069/1990 (Estatuto da Criança e do Adolescente). Além disso, o princípio da paternidade responsável foi consagrado na Convenção sobre os direitos da criança</w:t>
      </w:r>
      <w:r>
        <w:rPr>
          <w:rStyle w:val="Refdenotaderodap"/>
        </w:rPr>
        <w:footnoteReference w:id="22"/>
      </w:r>
      <w:r>
        <w:t xml:space="preserve">, que foi ratificada pelo Brasil em 24 de setembro de 1990, e estabelece que toda a criança terá direito, na medida do possível, de conhecer seus pais e ser cuidada por eles.   </w:t>
      </w:r>
    </w:p>
    <w:p w14:paraId="44762231" w14:textId="005E8671" w:rsidR="006A15CC" w:rsidRDefault="006A15CC" w:rsidP="006A15CC">
      <w:pPr>
        <w:pStyle w:val="corpo"/>
      </w:pPr>
      <w:r>
        <w:t>Na égide do princípio em questão, o casal é livre para planejar sua família, escolher a forma e</w:t>
      </w:r>
      <w:r w:rsidR="009341AB">
        <w:t>m</w:t>
      </w:r>
      <w:r>
        <w:t xml:space="preserve"> como educar seus filhos, deliberar procriar ou não</w:t>
      </w:r>
      <w:r w:rsidR="009341AB">
        <w:t>.</w:t>
      </w:r>
      <w:r>
        <w:t xml:space="preserve"> </w:t>
      </w:r>
      <w:r w:rsidR="009341AB">
        <w:t>E</w:t>
      </w:r>
      <w:r>
        <w:t>ntretanto, haverá óbice à sua autonomia privada em relação à sua escolha e</w:t>
      </w:r>
      <w:r w:rsidR="009341AB">
        <w:t>m</w:t>
      </w:r>
      <w:r>
        <w:t xml:space="preserve"> paralisar uma gravidez indesejada</w:t>
      </w:r>
      <w:r w:rsidR="009341AB">
        <w:t>, na medida em que o</w:t>
      </w:r>
      <w:r>
        <w:t xml:space="preserve"> direito à vida </w:t>
      </w:r>
      <w:proofErr w:type="gramStart"/>
      <w:r>
        <w:t>sobrepõe-se</w:t>
      </w:r>
      <w:proofErr w:type="gramEnd"/>
      <w:r>
        <w:t xml:space="preserve"> ao princípio do planejamento familiar e paternidade responsável.</w:t>
      </w:r>
    </w:p>
    <w:p w14:paraId="030A8BDE" w14:textId="56D1372F" w:rsidR="006A15CC" w:rsidRDefault="006A15CC" w:rsidP="006A15CC">
      <w:pPr>
        <w:pStyle w:val="corpo"/>
      </w:pPr>
      <w:r>
        <w:t>Dentro do princípio do planejamento familiar e paternidade responsável pode ainda ser extraído o princípio da não intervenção ou da liberdade, em que é vedado a qualquer pessoa, de direito público ou privado, interferir na organização da família, nos termos do artigo 1.513 do Código Civil brasileiro. A proibição exposta nesse artigo é em relação à não intervenção do Estado ou até de particulares de forma coercitiva nas relações familiares, mas</w:t>
      </w:r>
      <w:r w:rsidR="00B92681">
        <w:t>,</w:t>
      </w:r>
      <w:r>
        <w:t xml:space="preserve"> não isenta o Estado de sua responsabilidade de estimular o controle da natalidade e o planejamento familiar através de políticas públicas, obedecendo critérios constitucionais.</w:t>
      </w:r>
    </w:p>
    <w:p w14:paraId="46A483DD" w14:textId="77777777" w:rsidR="004B07D3" w:rsidRPr="004B07D3" w:rsidRDefault="004B07D3" w:rsidP="004B07D3">
      <w:pPr>
        <w:rPr>
          <w:rFonts w:cs="Times New Roman"/>
          <w:b w:val="0"/>
        </w:rPr>
      </w:pPr>
    </w:p>
    <w:p w14:paraId="30638251" w14:textId="77777777" w:rsidR="004B07D3" w:rsidRDefault="00A026A5" w:rsidP="004B07D3">
      <w:pPr>
        <w:pStyle w:val="Ttulo3"/>
        <w:rPr>
          <w:b/>
          <w:bCs/>
          <w:szCs w:val="24"/>
        </w:rPr>
      </w:pPr>
      <w:bookmarkStart w:id="24" w:name="_Toc28034645"/>
      <w:r>
        <w:rPr>
          <w:b/>
          <w:bCs/>
          <w:szCs w:val="24"/>
        </w:rPr>
        <w:t>Princípio do Melhor interesse da criança, do adolescente ou Princípio da Prioridade Absoluta</w:t>
      </w:r>
      <w:bookmarkEnd w:id="24"/>
    </w:p>
    <w:p w14:paraId="748B1D69" w14:textId="77777777" w:rsidR="004E557D" w:rsidRDefault="004E557D" w:rsidP="004E557D"/>
    <w:p w14:paraId="17F449FF" w14:textId="009A7B12" w:rsidR="004E557D" w:rsidRDefault="004E557D" w:rsidP="004E557D">
      <w:pPr>
        <w:pStyle w:val="corpo"/>
        <w:rPr>
          <w:szCs w:val="24"/>
        </w:rPr>
      </w:pPr>
      <w:r>
        <w:t>A partir da Emenda Constitucional nº 65 de 13 de julho de 2010, o artigo 227 da Constituição Federal brasileira inaugurou nova redação com salutar proteção e foco na prioridade absoluta à criança, adolescente e ao jovem. O artigo 227</w:t>
      </w:r>
      <w:r>
        <w:rPr>
          <w:rStyle w:val="Refdenotaderodap"/>
        </w:rPr>
        <w:footnoteReference w:id="23"/>
      </w:r>
      <w:r>
        <w:t xml:space="preserve"> da Constituição Federal Brasileira traz o mencionado princípio</w:t>
      </w:r>
      <w:r w:rsidR="00B92681">
        <w:t>, e e</w:t>
      </w:r>
      <w:r>
        <w:rPr>
          <w:szCs w:val="24"/>
        </w:rPr>
        <w:t>ssa proteção também é assegurada pelo Estatuto da Criança e do Adolescente (Lei nº 8.069/90), prevista em seu artigo 3º</w:t>
      </w:r>
      <w:r>
        <w:rPr>
          <w:rStyle w:val="Refdenotaderodap"/>
          <w:szCs w:val="24"/>
        </w:rPr>
        <w:footnoteReference w:id="24"/>
      </w:r>
      <w:r>
        <w:rPr>
          <w:szCs w:val="24"/>
        </w:rPr>
        <w:t>.</w:t>
      </w:r>
    </w:p>
    <w:p w14:paraId="11C77110" w14:textId="64956F30" w:rsidR="004E557D" w:rsidRDefault="004E557D" w:rsidP="004E557D">
      <w:pPr>
        <w:pStyle w:val="corpo"/>
        <w:rPr>
          <w:szCs w:val="24"/>
        </w:rPr>
      </w:pPr>
      <w:r>
        <w:rPr>
          <w:szCs w:val="24"/>
        </w:rPr>
        <w:t xml:space="preserve">O Brasil se inspirou na Convenção sobre os direitos da criança para a </w:t>
      </w:r>
      <w:r w:rsidR="00EC5302">
        <w:rPr>
          <w:szCs w:val="24"/>
        </w:rPr>
        <w:t>edição</w:t>
      </w:r>
      <w:r>
        <w:rPr>
          <w:szCs w:val="24"/>
        </w:rPr>
        <w:t xml:space="preserve"> do Estatuto da Criança e do Adolescente. A Convenção dos Direitos da Criança utilizou como base os princípios norteadores da Carta das Nações Unidas, dos Pactos Internacionais de Direitos Humanos e da Declaração Universal dos Direitos Humanos, que se fundamentam no reconhecimento da dignidade e dos direitos iguais e inalienáveis de todos os membros da família, assim como o direito irrenunciável à infância, com cuidados e assistência social. Esses são preceitos descritos no preâmbulo da Convenção sobre os Direitos da Criança. </w:t>
      </w:r>
    </w:p>
    <w:p w14:paraId="2B4939D9" w14:textId="77777777" w:rsidR="004E557D" w:rsidRDefault="004E557D" w:rsidP="004E557D">
      <w:pPr>
        <w:pStyle w:val="corpo"/>
        <w:rPr>
          <w:szCs w:val="24"/>
        </w:rPr>
      </w:pPr>
      <w:r>
        <w:rPr>
          <w:szCs w:val="24"/>
        </w:rPr>
        <w:t>A Convenção sobre os Direitos da Criança surgiu como meio de chamar a atenção dos países em geral, especialmente daqueles que não estavam oferecendo subsídios às suas crianças e adolescentes. O Brasil é signatário da Convenção sobre Direitos da Criança, ratificando-a em 24 de setembro de 1990. No mesmo ano, aos 13 de julho de 1990, sancionou o Estatuto da Criança e do Adolescente, que prevê a proteção direta a todas as pessoas até doze anos incompletos, intitulados de criança, e toda pessoa entre doze e dezoito anos de idade, intitulados de adolescente.</w:t>
      </w:r>
    </w:p>
    <w:p w14:paraId="333CF4CD" w14:textId="77777777" w:rsidR="004E557D" w:rsidRDefault="004E557D" w:rsidP="004E557D">
      <w:pPr>
        <w:pStyle w:val="corpo"/>
        <w:rPr>
          <w:szCs w:val="24"/>
        </w:rPr>
      </w:pPr>
      <w:r>
        <w:rPr>
          <w:szCs w:val="24"/>
        </w:rPr>
        <w:t>Ademais, demonstrando a abrangência de aplicação do princípio do melhor interesse da criança e prioridade absoluta, o Superior Tribunal de Justiça brasileiro entendeu a inviabilidade de expulsão de um estrangeiro, através da concessão por unanimidade de um Habeas Corpus</w:t>
      </w:r>
      <w:r>
        <w:rPr>
          <w:rStyle w:val="Refdenotaderodap"/>
          <w:szCs w:val="24"/>
        </w:rPr>
        <w:footnoteReference w:id="25"/>
      </w:r>
      <w:r>
        <w:rPr>
          <w:szCs w:val="24"/>
        </w:rPr>
        <w:t xml:space="preserve">. Esse estrangeiro, nacional da Tanzânia, comprovou sua paternidade em relação a uma criança brasileira, que se encontra sob sua guarda e dependência financeira. Assim, essa decisão elevou a importância fundamental desse princípio.   </w:t>
      </w:r>
    </w:p>
    <w:p w14:paraId="44883470" w14:textId="77777777" w:rsidR="004E557D" w:rsidRDefault="004E557D" w:rsidP="004E557D">
      <w:pPr>
        <w:pStyle w:val="corpo"/>
        <w:rPr>
          <w:szCs w:val="24"/>
        </w:rPr>
      </w:pPr>
      <w:r>
        <w:rPr>
          <w:szCs w:val="24"/>
        </w:rPr>
        <w:t>Em Portugal, esse princípio é denominado de Princípio do interesse superior da criança, baseado no artigo 36°, n° 5, da CRP, que atribui aos pais não só o direito, mas também o dever de educação e manutenção dos filhos. Além disso, a Constituição da República Portuguesa prevê uma ampla proteção às crianças, em que tanto a sociedade quanto o Estado são os responsáveis. O artigo 69°, CRP garante o desenvolvimento integral a todas as crianças, e uma proteção especial às crianças órfãs.</w:t>
      </w:r>
    </w:p>
    <w:p w14:paraId="38508FF8" w14:textId="1AB825A7" w:rsidR="00E14E32" w:rsidRDefault="00E14E32" w:rsidP="004E557D">
      <w:pPr>
        <w:pStyle w:val="corpo"/>
        <w:rPr>
          <w:szCs w:val="24"/>
        </w:rPr>
      </w:pPr>
      <w:r>
        <w:rPr>
          <w:szCs w:val="24"/>
        </w:rPr>
        <w:t>A jurisprudência portuguesa deixa bem clara a importância desse princípio em seus julgados</w:t>
      </w:r>
      <w:r w:rsidR="002504EE">
        <w:rPr>
          <w:szCs w:val="24"/>
        </w:rPr>
        <w:t>,</w:t>
      </w:r>
      <w:r>
        <w:rPr>
          <w:szCs w:val="24"/>
        </w:rPr>
        <w:t xml:space="preserve"> nos casos de regulação do exercício do poder paternal</w:t>
      </w:r>
      <w:r w:rsidR="00502F78">
        <w:rPr>
          <w:szCs w:val="24"/>
        </w:rPr>
        <w:t>, em que os avós têm legitimidade para intervirem</w:t>
      </w:r>
      <w:r w:rsidR="00502F78">
        <w:rPr>
          <w:rStyle w:val="Refdenotaderodap"/>
          <w:szCs w:val="24"/>
        </w:rPr>
        <w:footnoteReference w:id="26"/>
      </w:r>
      <w:r>
        <w:rPr>
          <w:szCs w:val="24"/>
        </w:rPr>
        <w:t>, bem como no</w:t>
      </w:r>
      <w:r w:rsidR="002052A4">
        <w:rPr>
          <w:szCs w:val="24"/>
        </w:rPr>
        <w:t>s</w:t>
      </w:r>
      <w:r>
        <w:rPr>
          <w:szCs w:val="24"/>
        </w:rPr>
        <w:t xml:space="preserve"> casos </w:t>
      </w:r>
      <w:r w:rsidR="00502F78">
        <w:rPr>
          <w:szCs w:val="24"/>
        </w:rPr>
        <w:t xml:space="preserve">relacionados </w:t>
      </w:r>
      <w:r w:rsidR="002504EE">
        <w:rPr>
          <w:szCs w:val="24"/>
        </w:rPr>
        <w:t>a</w:t>
      </w:r>
      <w:r w:rsidR="00502F78">
        <w:rPr>
          <w:szCs w:val="24"/>
        </w:rPr>
        <w:t>o direito-dever de guarda e de vigilância dos pais</w:t>
      </w:r>
      <w:r w:rsidR="002603E7">
        <w:rPr>
          <w:rStyle w:val="Refdenotaderodap"/>
          <w:szCs w:val="24"/>
        </w:rPr>
        <w:footnoteReference w:id="27"/>
      </w:r>
      <w:r w:rsidR="002504EE">
        <w:rPr>
          <w:szCs w:val="24"/>
        </w:rPr>
        <w:t>.</w:t>
      </w:r>
    </w:p>
    <w:p w14:paraId="05AFEA6C" w14:textId="565F0DA2" w:rsidR="004E557D" w:rsidRDefault="004E557D" w:rsidP="004E557D">
      <w:pPr>
        <w:pStyle w:val="corpo"/>
        <w:rPr>
          <w:szCs w:val="24"/>
        </w:rPr>
      </w:pPr>
      <w:r>
        <w:rPr>
          <w:szCs w:val="24"/>
        </w:rPr>
        <w:t xml:space="preserve">A proteção integral a crianças, adolescentes, e jovens representa um marco na dignidade, liberdade e individualidade dessas pessoas, que deixaram de ser apenas parte da relação familiar </w:t>
      </w:r>
      <w:r w:rsidR="002052A4">
        <w:rPr>
          <w:szCs w:val="24"/>
        </w:rPr>
        <w:t xml:space="preserve">para </w:t>
      </w:r>
      <w:r>
        <w:rPr>
          <w:szCs w:val="24"/>
        </w:rPr>
        <w:t>ser</w:t>
      </w:r>
      <w:r w:rsidR="002052A4">
        <w:rPr>
          <w:szCs w:val="24"/>
        </w:rPr>
        <w:t>em</w:t>
      </w:r>
      <w:r>
        <w:rPr>
          <w:szCs w:val="24"/>
        </w:rPr>
        <w:t xml:space="preserve"> protagonistas de</w:t>
      </w:r>
      <w:r w:rsidR="002052A4">
        <w:rPr>
          <w:szCs w:val="24"/>
        </w:rPr>
        <w:t>la</w:t>
      </w:r>
      <w:r>
        <w:rPr>
          <w:szCs w:val="24"/>
        </w:rPr>
        <w:t xml:space="preserve">, ampliando e efetivando o princípio da dignidade da pessoa a todos os seres humanos. Nesses termos, a satisfação desse princípio tem justificado os avanços alcançados no reconhecimento da paternidade socioafetiva, em países como o Brasil. </w:t>
      </w:r>
    </w:p>
    <w:p w14:paraId="10986581" w14:textId="26E76F76" w:rsidR="00AB15A0" w:rsidRDefault="00AB15A0" w:rsidP="004E557D"/>
    <w:p w14:paraId="17ABD890" w14:textId="6AF38816" w:rsidR="00AB15A0" w:rsidRDefault="00AB15A0">
      <w:pPr>
        <w:spacing w:after="160" w:line="259" w:lineRule="auto"/>
        <w:ind w:firstLine="0"/>
        <w:jc w:val="left"/>
      </w:pPr>
      <w:r>
        <w:br w:type="page"/>
      </w:r>
    </w:p>
    <w:p w14:paraId="2DADCDC9" w14:textId="77777777" w:rsidR="00E83182" w:rsidRDefault="00A026A5" w:rsidP="00E83182">
      <w:pPr>
        <w:pStyle w:val="Ttulo3"/>
        <w:rPr>
          <w:b/>
          <w:bCs/>
          <w:szCs w:val="24"/>
        </w:rPr>
      </w:pPr>
      <w:bookmarkStart w:id="25" w:name="_Toc28034646"/>
      <w:r>
        <w:rPr>
          <w:b/>
          <w:bCs/>
          <w:szCs w:val="24"/>
        </w:rPr>
        <w:t>Princípio da Afetividade</w:t>
      </w:r>
      <w:bookmarkEnd w:id="25"/>
    </w:p>
    <w:p w14:paraId="7FBC7467" w14:textId="77777777" w:rsidR="00D04A3C" w:rsidRDefault="00D04A3C" w:rsidP="00D04A3C"/>
    <w:p w14:paraId="7BCA9231" w14:textId="77777777" w:rsidR="00D04A3C" w:rsidRDefault="00D04A3C" w:rsidP="00BE2242">
      <w:pPr>
        <w:pStyle w:val="corpo"/>
      </w:pPr>
      <w:r>
        <w:t xml:space="preserve">Todo o moderno Direito de Família gira em torno do princípio da afetividade. Aliás, é esse princípio que sustenta a possibilidade atual dos reconhecimentos de filho socioafetivos. Ou seja, o movimento da desbiologização da paternidade trouxe um novo tipo de filiação, que não se baseia em vínculos biológicos, mas apenas nos vínculos de afetividade que ligam pais e filhos. Reconhece-se como família não mais aquelas formadas apenas pelo casamento, mas a formação de pessoas que estejam ligadas pelo vínculo de afeto. </w:t>
      </w:r>
    </w:p>
    <w:p w14:paraId="25576EE5" w14:textId="77777777" w:rsidR="00D04A3C" w:rsidRDefault="00D04A3C" w:rsidP="00BE2242">
      <w:pPr>
        <w:pStyle w:val="corpo"/>
      </w:pPr>
      <w:r>
        <w:t xml:space="preserve">O fundamento hoje não está mais no formato das famílias, mas sim no afeto, visto que é o princípio que sustenta a pluralidade familiar. Atualmente, a afetividade entre os indivíduos é a razão que os une transformando-os em família. A vontade de constituírem uma família ligada pelos laços de afeto é que determina essa realidade. E o mesmo ocorre com a filiação, uma vez que a afetividade cria vínculos com igualdade de forças em relação àqueles formados pelas demais origens.  </w:t>
      </w:r>
    </w:p>
    <w:p w14:paraId="2645FBDE" w14:textId="77777777" w:rsidR="00137FF3" w:rsidRDefault="00137FF3" w:rsidP="00BE2242">
      <w:pPr>
        <w:pStyle w:val="corpo"/>
      </w:pPr>
      <w:r>
        <w:t>Para Diogo Leite de Campos</w:t>
      </w:r>
      <w:r w:rsidR="00C93F2E">
        <w:rPr>
          <w:rStyle w:val="Refdenotaderodap"/>
        </w:rPr>
        <w:footnoteReference w:id="28"/>
      </w:r>
      <w:r>
        <w:t>, “as nossas famílias, brasileiras e portuguesas, continuam a ser quadro privilegiado da nossa realização pessoal, por nos terem ensinado o “eu-tu” como relação de amor a transitar para o “nós”, e hoje continuarmos o que nos faz entender que a nossa vida é assente no amor que reenvia à fidelidade”.</w:t>
      </w:r>
    </w:p>
    <w:p w14:paraId="65DC41B9" w14:textId="77777777" w:rsidR="00D04A3C" w:rsidRDefault="00D04A3C" w:rsidP="00BE2242">
      <w:pPr>
        <w:pStyle w:val="corpo"/>
      </w:pPr>
      <w:r>
        <w:t>O princípio da afetividade encontra-se espalhado pela Constituição Federal Brasileira. Vislumbra-se esse princípio no artigo 227, parágrafos 5º e 6</w:t>
      </w:r>
      <w:r w:rsidRPr="00CF2282">
        <w:t xml:space="preserve"> </w:t>
      </w:r>
      <w:r>
        <w:t>º, que concede a igualdade entre todos os filhos, independentemente da origem, estando, então, a adoção no mesmo plano de igualdade filial. Ademais, o artigo 226, parágrafo 4º, que protege a comunidade familiar formada por qualquer dos pais e seus descendentes, demonstra que esse tipo de família tem a mesma proteção da família tradicional formada por pai, mãe e filhos.</w:t>
      </w:r>
    </w:p>
    <w:p w14:paraId="4DD23A63" w14:textId="77777777" w:rsidR="00D04A3C" w:rsidRDefault="00D04A3C" w:rsidP="00BE2242">
      <w:pPr>
        <w:pStyle w:val="corpo"/>
      </w:pPr>
      <w:r>
        <w:t>Em Portugal, a Constituição da República deixa bem claro que todo o tipo de filiação deve ser protegido, seja ele matrimonial, extramatrimonial ou mesmo adotivo, nos termos do artigo 36, números 4 e 7, em razão também do Princípio da Afetividade.</w:t>
      </w:r>
    </w:p>
    <w:p w14:paraId="1516BC30" w14:textId="77777777" w:rsidR="00D04A3C" w:rsidRDefault="00D04A3C" w:rsidP="00BE2242">
      <w:pPr>
        <w:pStyle w:val="corpo"/>
      </w:pPr>
      <w:r>
        <w:t xml:space="preserve">A afetividade, como princípio jurídico, não pode ser confundida com afeto, no aspecto sentimental, nem como fato psicológico. Doutrinariamente e jurisprudencialmente, a afetividade pode ser presumida quando ocorre a ausência do afeto nas relações familiares. E isso porque no direito, a afetividade é conceituada como um princípio jurídico com força normativa, impondo deveres e obrigações aos membros da família, mesmo que o afeto não esteja presente nessa relação. </w:t>
      </w:r>
    </w:p>
    <w:p w14:paraId="243E3736" w14:textId="163933A5" w:rsidR="00D04A3C" w:rsidRDefault="00D04A3C" w:rsidP="00BE2242">
      <w:pPr>
        <w:pStyle w:val="corpo"/>
      </w:pPr>
      <w:r>
        <w:t>Em relação ao afeto, não há qualquer instituto legal e nem mesmo a Constituição da República Brasileira e Portuguesa, que obriguem as pessoas a gostarem das outras, mesmo que o vínculo de parentesco entre el</w:t>
      </w:r>
      <w:r w:rsidR="004F1D3F">
        <w:t>a</w:t>
      </w:r>
      <w:r>
        <w:t xml:space="preserve">s seja de 1º grau (pai e filho, ou mãe e filho). Entretanto, o princípio da afetividade surgiu para preencher essa deficiência que se propaga em muitas relações familiares. </w:t>
      </w:r>
      <w:r w:rsidR="004F1D3F">
        <w:t>Assim,</w:t>
      </w:r>
      <w:r>
        <w:t xml:space="preserve"> surge a importância da compreensão do valor jurídico “amar é faculdade, cuidar é dever”</w:t>
      </w:r>
      <w:r>
        <w:rPr>
          <w:rStyle w:val="Refdenotaderodap"/>
          <w:szCs w:val="24"/>
        </w:rPr>
        <w:footnoteReference w:id="29"/>
      </w:r>
      <w:r>
        <w:t>.</w:t>
      </w:r>
    </w:p>
    <w:p w14:paraId="01D8C7D2" w14:textId="77777777" w:rsidR="00D04A3C" w:rsidRDefault="00D04A3C" w:rsidP="00BE2242">
      <w:pPr>
        <w:pStyle w:val="corpo"/>
      </w:pPr>
      <w:r>
        <w:t xml:space="preserve">No entendimento do Ministro </w:t>
      </w:r>
      <w:proofErr w:type="spellStart"/>
      <w:r>
        <w:t>Luis</w:t>
      </w:r>
      <w:proofErr w:type="spellEnd"/>
      <w:r>
        <w:t xml:space="preserve"> Felipe Salomão</w:t>
      </w:r>
      <w:r>
        <w:rPr>
          <w:rStyle w:val="Refdenotaderodap"/>
          <w:szCs w:val="24"/>
        </w:rPr>
        <w:footnoteReference w:id="30"/>
      </w:r>
      <w:r>
        <w:t>, o princípio da afetividade baliza o conceito de família e fundamenta o Direito de Família, concedendo estabilidade nas relações socioafetivas. A aplicação do princípio da afetividade pode desencadear novas formas de família, na medida em que a existência concomitante do vínculo biológico e socioafetivo, torna-se cada vez mais comum na realidade jurisprudencial. As sentenças brasileiras que reconhecem esses dois vínculos, autorizando sua existência conjunta deles nos Registros Civis causa um avanço no Direito de Família e inova o conceito de família através da multiparentalidade.</w:t>
      </w:r>
    </w:p>
    <w:p w14:paraId="7476756A" w14:textId="77777777" w:rsidR="00D04A3C" w:rsidRDefault="00D04A3C" w:rsidP="00BE2242">
      <w:pPr>
        <w:pStyle w:val="corpo"/>
      </w:pPr>
      <w:r>
        <w:t>Conclui-se, então, que o princípio da afetividade não pode ser confundindo com o sentimento de afeto ou amor, mas analisado como um dever entre os entes familiares uns com os outros, com a finalidade de proporcionar uma maior qualidade dessas relações.</w:t>
      </w:r>
    </w:p>
    <w:p w14:paraId="7F835134" w14:textId="77777777" w:rsidR="00E83182" w:rsidRPr="00E83182" w:rsidRDefault="00E83182" w:rsidP="00E83182"/>
    <w:p w14:paraId="6BCF25CF" w14:textId="77777777" w:rsidR="00E83182" w:rsidRDefault="00A026A5" w:rsidP="00E83182">
      <w:pPr>
        <w:pStyle w:val="Ttulo3"/>
        <w:rPr>
          <w:b/>
          <w:bCs/>
          <w:szCs w:val="24"/>
        </w:rPr>
      </w:pPr>
      <w:bookmarkStart w:id="26" w:name="_Toc28034647"/>
      <w:r>
        <w:rPr>
          <w:b/>
          <w:bCs/>
          <w:szCs w:val="24"/>
        </w:rPr>
        <w:t>Princípio do Pluralismo familiar</w:t>
      </w:r>
      <w:bookmarkEnd w:id="26"/>
    </w:p>
    <w:p w14:paraId="04EA6206" w14:textId="77777777" w:rsidR="002D468A" w:rsidRDefault="002D468A" w:rsidP="002D468A"/>
    <w:p w14:paraId="2EBF4258" w14:textId="77777777" w:rsidR="002D468A" w:rsidRDefault="002D468A" w:rsidP="002D468A">
      <w:pPr>
        <w:pStyle w:val="corpo"/>
      </w:pPr>
      <w:r>
        <w:t>O princípio do pluralismo familiar está baseado no artigo 226 da Constituição Federal Brasileira com a oportunidade para o surgimento de novas entidades familiares. A consagração desse princípio na Constituição brasileira representa um grande avanço nas relações de família, assim como a modernização do Direito de Família. O caput do artigo 226 da Constituição inovou, quando não fez referência a qualquer tipo de família. Assim, houve a garantia da proteção constitucional a todos os tipos de família, sem preferências ou discriminações.</w:t>
      </w:r>
    </w:p>
    <w:p w14:paraId="7A60EC5A" w14:textId="2AC53A84" w:rsidR="002D468A" w:rsidRDefault="002D468A" w:rsidP="002D468A">
      <w:pPr>
        <w:pStyle w:val="corpo"/>
      </w:pPr>
      <w:r>
        <w:t>A Constituição Federal brasileira de 1988 trouxe uma visão moderna e diferenciada de família, em que não se baseia nas pessoas individualmente consideradas, mas pela sociedade como um todo, em especial com base no afeto entre os membros que a compõem. Para o doutrinador brasileiro Rodrigo da Cunha Pereira</w:t>
      </w:r>
      <w:r>
        <w:rPr>
          <w:rStyle w:val="Refdenotaderodap"/>
          <w:szCs w:val="24"/>
        </w:rPr>
        <w:footnoteReference w:id="31"/>
      </w:r>
      <w:r w:rsidR="00446913">
        <w:t>,</w:t>
      </w:r>
      <w:r>
        <w:t xml:space="preserve"> no momento em que a família deixou de ser o núcleo econômico e de reprodução para ser o espaço do afeto e do amor, apareceram novas representações sociais para ela.  </w:t>
      </w:r>
    </w:p>
    <w:p w14:paraId="73583659" w14:textId="77777777" w:rsidR="002D468A" w:rsidRDefault="002D468A" w:rsidP="002D468A">
      <w:pPr>
        <w:pStyle w:val="corpo"/>
      </w:pPr>
      <w:r>
        <w:t>Vale frisar que, as espécies de entidades familiares pautadas nos parágrafos do artigo 226 da Constituição Federal brasileira são exemplificativas, podendo, então, ser alargado o conceito de família conforme o caso concreto. No Brasil, atualmente, o matrimônio não é o único responsável pela formação da entidade familiar, bastando um vínculo de afeto para o reconhecimento de uma formação familiar. Nesses termos, descontrói-se a figura patriarcal para ser substituída pelo laço afetivo.</w:t>
      </w:r>
    </w:p>
    <w:p w14:paraId="1A29E5B4" w14:textId="77777777" w:rsidR="002D468A" w:rsidRDefault="002D468A" w:rsidP="002D468A">
      <w:pPr>
        <w:pStyle w:val="corpo"/>
      </w:pPr>
      <w:r>
        <w:t xml:space="preserve">Antes dessa inovação evolutiva, o conceito de família se pautava única e exclusivamente naqueles constituídos pelo casamento, vez que o Código Civil brasileiro de 1916 repudiava qualquer outro modelo familiar, em razão de ser ele um código de sistema fechado, ou seja, que trazia apenas os assuntos de interesses das classes dominantes, não fazendo menção aos institutos que a sociedade não queria ver codificados. </w:t>
      </w:r>
    </w:p>
    <w:p w14:paraId="545DD71F" w14:textId="64CF6C87" w:rsidR="002D468A" w:rsidRDefault="002D468A" w:rsidP="002D468A">
      <w:pPr>
        <w:pStyle w:val="corpo"/>
      </w:pPr>
      <w:r>
        <w:t>No Brasil, a jurisprudência contribuiu para a valorização das famílias extramatrimoniais que, com o advento da Constituição Federal de 1988, ganharam o status de entidades familiares. Além disso, a Lei n° 11.340/06 que trata da Violência Doméstica e Familiar contra a mulher trouxe o afeto para o centro do conceito de família quando faz referência à família como uma “relação íntima de afeto, na qual o agressor conviva ou tenha convivido com a ofendida, independentemente de coabitação”</w:t>
      </w:r>
      <w:r>
        <w:rPr>
          <w:rStyle w:val="Refdenotaderodap"/>
          <w:szCs w:val="24"/>
        </w:rPr>
        <w:footnoteReference w:id="32"/>
      </w:r>
      <w:r>
        <w:t>.</w:t>
      </w:r>
    </w:p>
    <w:p w14:paraId="2F12AAF6" w14:textId="77777777" w:rsidR="002D468A" w:rsidRDefault="002D468A" w:rsidP="002D468A">
      <w:pPr>
        <w:pStyle w:val="corpo"/>
      </w:pPr>
      <w:r>
        <w:t xml:space="preserve">Ademais, para corroborar o Princípio do Pluralismo familiar, temos a consagração no Brasil da família extensa ou ampliada, nos termos do artigo 25, </w:t>
      </w:r>
      <w:proofErr w:type="spellStart"/>
      <w:r>
        <w:t>paragrafo</w:t>
      </w:r>
      <w:proofErr w:type="spellEnd"/>
      <w:r>
        <w:t xml:space="preserve"> único do Estatuto da Criança e do Adolescente (Lei Federal n° 8.069/1990), em que prevê ser a família “extensa ou ampliada aquela que se estende para além da unidade pais e filhos ou da unidade do casal, formada por parentes próximos com os quais a criança ou o adolescente convive e mantém vínculos de afinidade e afetividade”.     </w:t>
      </w:r>
    </w:p>
    <w:p w14:paraId="7A356C04" w14:textId="6B99A78F" w:rsidR="002D468A" w:rsidRDefault="002D468A" w:rsidP="002D468A">
      <w:pPr>
        <w:pStyle w:val="corpo"/>
      </w:pPr>
      <w:r>
        <w:t>Em Portugal, em contrapartida, o Código Civil traz de forma expressa quais são as fontes das relações jurídicas familiares: o casamento, o parentesco, a afinidade e a adoção (artigo 1576°). Assim, o conceito jurídico de família corresponde à entidade constituída por pessoas ligadas por ess</w:t>
      </w:r>
      <w:r w:rsidR="009D154C">
        <w:t>es vínculos</w:t>
      </w:r>
      <w:r>
        <w:t>. Os familiares são os cônjuges, parentes e afins, adotantes e adotados.</w:t>
      </w:r>
    </w:p>
    <w:p w14:paraId="6E7DCEAF" w14:textId="2F2BB757" w:rsidR="002D468A" w:rsidRDefault="002D468A" w:rsidP="002D468A">
      <w:pPr>
        <w:pStyle w:val="corpo"/>
      </w:pPr>
      <w:r>
        <w:t xml:space="preserve">Nesses termos, a legislação de Portugal ainda tem como preponderante o critério biológico para a definição do conceito de família e parentesco, diferentemente do que ocorre no Brasil. Em razão dessa realidade, </w:t>
      </w:r>
      <w:r w:rsidR="009D154C">
        <w:t>e</w:t>
      </w:r>
      <w:r>
        <w:t xml:space="preserve">xistiram várias manifestações no direito português, com o intuito de se ver substituído o critério de fixação da família do biológico para o sociológico. No entanto, é inegável que em Portugal se admitem alguns tipos de família em que </w:t>
      </w:r>
      <w:r w:rsidR="009D154C">
        <w:t xml:space="preserve">seus </w:t>
      </w:r>
      <w:r>
        <w:t>entes não estão ligados pelo vínculo biológico, como: adoção, união de fato, perfilhação de complacência, sendo esta última uma falsa paternidade biológica, mas que socialmente é reconhecida como verdadeira.</w:t>
      </w:r>
    </w:p>
    <w:p w14:paraId="6B6F0BE1" w14:textId="77777777" w:rsidR="002D468A" w:rsidRDefault="002D468A" w:rsidP="002D468A">
      <w:pPr>
        <w:pStyle w:val="corpo"/>
      </w:pPr>
      <w:r>
        <w:t>Assim, houve uma ampliação dos conceitos de família e parentalidade, já que se modificaram os critérios utilizados. Os conceitos não estão mais baseados apenas no critério biológico, permitindo-se, então, o aparecimento de figuras como a dupla maternidade ou paternidade e a multiparentalidade. Diante da transformação do Direito de Família cabe aos legisladores e operadores do direito o dever de zelar pela correta aplicabilidade desses novos conceitos familiares, interpretando o texto legal de forma justa, eficiente e eficaz, sem qualquer tipo de preconceitos.</w:t>
      </w:r>
    </w:p>
    <w:p w14:paraId="1E279DC4" w14:textId="77777777" w:rsidR="00BA2963" w:rsidRDefault="00BA2963" w:rsidP="002D468A">
      <w:pPr>
        <w:pStyle w:val="corpo"/>
      </w:pPr>
    </w:p>
    <w:p w14:paraId="70DC38C0" w14:textId="77777777" w:rsidR="00BA2963" w:rsidRDefault="00BA2963" w:rsidP="002D468A">
      <w:pPr>
        <w:pStyle w:val="corpo"/>
      </w:pPr>
    </w:p>
    <w:p w14:paraId="4B7A01B4" w14:textId="77777777" w:rsidR="00BA2963" w:rsidRDefault="00BA2963" w:rsidP="002D468A">
      <w:pPr>
        <w:pStyle w:val="corpo"/>
      </w:pPr>
    </w:p>
    <w:p w14:paraId="22A03C38" w14:textId="77777777" w:rsidR="00BA2963" w:rsidRDefault="00BA2963" w:rsidP="002D468A">
      <w:pPr>
        <w:pStyle w:val="corpo"/>
      </w:pPr>
    </w:p>
    <w:p w14:paraId="78330469" w14:textId="77777777" w:rsidR="00BA2963" w:rsidRDefault="00BA2963" w:rsidP="002D468A">
      <w:pPr>
        <w:pStyle w:val="corpo"/>
      </w:pPr>
    </w:p>
    <w:p w14:paraId="583D28B4" w14:textId="77777777" w:rsidR="00BA2963" w:rsidRDefault="00BA2963" w:rsidP="002D468A">
      <w:pPr>
        <w:pStyle w:val="corpo"/>
      </w:pPr>
    </w:p>
    <w:p w14:paraId="3D4F6545" w14:textId="77777777" w:rsidR="00BA2963" w:rsidRDefault="00BA2963" w:rsidP="002D468A">
      <w:pPr>
        <w:pStyle w:val="corpo"/>
      </w:pPr>
    </w:p>
    <w:p w14:paraId="29ECE6C7" w14:textId="77777777" w:rsidR="00BA2963" w:rsidRDefault="00BA2963" w:rsidP="002D468A">
      <w:pPr>
        <w:pStyle w:val="corpo"/>
      </w:pPr>
    </w:p>
    <w:p w14:paraId="005E2A8D" w14:textId="77777777" w:rsidR="00BA2963" w:rsidRDefault="00BA2963" w:rsidP="002D468A">
      <w:pPr>
        <w:pStyle w:val="corpo"/>
      </w:pPr>
    </w:p>
    <w:p w14:paraId="379316ED" w14:textId="77777777" w:rsidR="00BA2963" w:rsidRDefault="00BA2963">
      <w:pPr>
        <w:spacing w:after="160" w:line="259" w:lineRule="auto"/>
        <w:ind w:firstLine="0"/>
        <w:jc w:val="left"/>
        <w:rPr>
          <w:rFonts w:cs="Times New Roman"/>
          <w:b w:val="0"/>
          <w:szCs w:val="22"/>
        </w:rPr>
      </w:pPr>
      <w:r>
        <w:br w:type="page"/>
      </w:r>
    </w:p>
    <w:p w14:paraId="20E34251" w14:textId="77777777" w:rsidR="004B07D3" w:rsidRDefault="004B07D3" w:rsidP="004B07D3">
      <w:pPr>
        <w:pStyle w:val="Ttulo1"/>
        <w:rPr>
          <w:szCs w:val="24"/>
        </w:rPr>
      </w:pPr>
      <w:bookmarkStart w:id="27" w:name="_Toc28034648"/>
      <w:r w:rsidRPr="00C5742D">
        <w:rPr>
          <w:szCs w:val="24"/>
        </w:rPr>
        <w:t>CONSIDERAÇÕES INICIAIS ACERCA DA F</w:t>
      </w:r>
      <w:r w:rsidR="00260A16">
        <w:rPr>
          <w:szCs w:val="24"/>
        </w:rPr>
        <w:t>ILIAÇÃO</w:t>
      </w:r>
      <w:bookmarkEnd w:id="27"/>
    </w:p>
    <w:p w14:paraId="4973D27A" w14:textId="77777777" w:rsidR="00260A16" w:rsidRPr="00260A16" w:rsidRDefault="00260A16" w:rsidP="00260A16"/>
    <w:p w14:paraId="7B5E5CDF" w14:textId="77777777" w:rsidR="004B07D3" w:rsidRDefault="00260A16" w:rsidP="004B07D3">
      <w:pPr>
        <w:pStyle w:val="Ttulo2"/>
      </w:pPr>
      <w:bookmarkStart w:id="28" w:name="_Toc28034649"/>
      <w:r>
        <w:t xml:space="preserve">Da </w:t>
      </w:r>
      <w:r w:rsidR="004B07D3" w:rsidRPr="004B07D3">
        <w:t>F</w:t>
      </w:r>
      <w:r>
        <w:t>iliação</w:t>
      </w:r>
      <w:bookmarkEnd w:id="28"/>
    </w:p>
    <w:p w14:paraId="6E1DCCF2" w14:textId="77777777" w:rsidR="00E146A5" w:rsidRDefault="00E146A5" w:rsidP="00E146A5"/>
    <w:p w14:paraId="084C5C86" w14:textId="77777777" w:rsidR="00E146A5" w:rsidRDefault="00E146A5" w:rsidP="00E146A5">
      <w:pPr>
        <w:pStyle w:val="corpo"/>
      </w:pPr>
      <w:r>
        <w:t>Filiação é a relação de parentesco, em primeiro grau e em linha reta, que liga o indivíduo àquelas pessoas que lhe geraram ou o acolheram como se lhe tivessem gerado</w:t>
      </w:r>
      <w:r>
        <w:rPr>
          <w:rStyle w:val="Refdenotaderodap"/>
          <w:szCs w:val="24"/>
        </w:rPr>
        <w:footnoteReference w:id="33"/>
      </w:r>
      <w:r>
        <w:t>, é “a relação jurídica que liga o filho a seus pais”</w:t>
      </w:r>
      <w:r>
        <w:rPr>
          <w:rStyle w:val="Refdenotaderodap"/>
          <w:szCs w:val="24"/>
        </w:rPr>
        <w:footnoteReference w:id="34"/>
      </w:r>
      <w:r>
        <w:t xml:space="preserve">. Das relações de parentesco, a relação jurídica mais importante é a filiação, que se configura da relação estabelecida entre pais e filhos, denominada como maternidade e paternidade. </w:t>
      </w:r>
    </w:p>
    <w:p w14:paraId="748636DA" w14:textId="77777777" w:rsidR="00E146A5" w:rsidRDefault="00E146A5" w:rsidP="00E146A5">
      <w:pPr>
        <w:pStyle w:val="corpo"/>
      </w:pPr>
      <w:r>
        <w:t>Na concepção de Maria Helena Diniz</w:t>
      </w:r>
      <w:r>
        <w:rPr>
          <w:rStyle w:val="Refdenotaderodap"/>
          <w:szCs w:val="24"/>
        </w:rPr>
        <w:footnoteReference w:id="35"/>
      </w:r>
      <w:r>
        <w:t>, a filiação refere-se à relação de parentesco consanguíneo em linha reta de primeiro grau entre uma pessoa e aqueles que lhe deram a vida, além de ser também a relação socioafetiva entre pai adotivo e institucional e filho adotado ou advindo de métodos artificiais de reprodução heteróloga.</w:t>
      </w:r>
    </w:p>
    <w:p w14:paraId="5BF32F8C" w14:textId="0693FFB3" w:rsidR="00E146A5" w:rsidRDefault="00E146A5" w:rsidP="00E146A5">
      <w:pPr>
        <w:pStyle w:val="corpo"/>
      </w:pPr>
      <w:r>
        <w:t>A Constituição Federal brasileira de 1988 de</w:t>
      </w:r>
      <w:r w:rsidR="00F05B8C">
        <w:t xml:space="preserve"> </w:t>
      </w:r>
      <w:r>
        <w:t xml:space="preserve">forma visionária </w:t>
      </w:r>
      <w:r w:rsidR="00B52DDF">
        <w:t>ampliou</w:t>
      </w:r>
      <w:r>
        <w:t xml:space="preserve"> o conceito de entidade familiar, e a doutrina e a jurisprudência, por sua vez, as acompanharam, </w:t>
      </w:r>
      <w:r w:rsidR="0087170D">
        <w:t>estendendo</w:t>
      </w:r>
      <w:r>
        <w:t xml:space="preserve"> suas pesquisas e seu posicionamento diante dessa nova realidade. A proteção da família passou a ser além do casamento, a Constituição abriu o leque para novos meios familiares, como a união estável, e a família monoparental (convivência de um dos genitores com sua prole). Novas técnicas de reprodução foram protegidas, desvinculando a tríade casamento, sexo e procriação.</w:t>
      </w:r>
    </w:p>
    <w:p w14:paraId="1B73EC7F" w14:textId="4B4E2EDB" w:rsidR="00E146A5" w:rsidRDefault="00E146A5" w:rsidP="00E146A5">
      <w:pPr>
        <w:pStyle w:val="corpo"/>
      </w:pPr>
      <w:r>
        <w:t>Assim, o biologismo demonstra não ser mais um critério absoluto a ser seguido, já que se inova nas formas de concepção de filhos, como</w:t>
      </w:r>
      <w:r w:rsidR="00D75BC4">
        <w:t xml:space="preserve"> é o caso</w:t>
      </w:r>
      <w:r>
        <w:t xml:space="preserve"> </w:t>
      </w:r>
      <w:r w:rsidR="00D75BC4">
        <w:t>d</w:t>
      </w:r>
      <w:r>
        <w:t>a procriação assistida, em que ingressou no direito português em 2006, através da Lei n° 32. Em nome dessa revolução familiar, os princípios constitucionais do melhor interesse da criança e da dignidade da pessoa humana, além da convivência familiar se consagram como fundamentais na composição jurídica conquistando proteção integral e absoluta.</w:t>
      </w:r>
    </w:p>
    <w:p w14:paraId="4944876C" w14:textId="42C79CE4" w:rsidR="00E146A5" w:rsidRDefault="00E146A5" w:rsidP="00E146A5">
      <w:pPr>
        <w:pStyle w:val="corpo"/>
      </w:pPr>
      <w:r>
        <w:t>Todas essas transformações em torno da família colaboram para o surgimento de novos vínculos de parentalidade. A filiação tradicionalista e limitada cedeu espaço a novos horizontes e novas formações familiares. Surgem para a atual família conceitos de parentalidade como: filiação social, filiação socioafetiva, estado de filho afetivo, e muitos outros vocábulos adotados pela doutrina. Maria Berenice Dias</w:t>
      </w:r>
      <w:r>
        <w:rPr>
          <w:rStyle w:val="Refdenotaderodap"/>
          <w:szCs w:val="24"/>
        </w:rPr>
        <w:footnoteReference w:id="36"/>
      </w:r>
      <w:r>
        <w:t xml:space="preserve"> define que a paternidade socioafetiva é gênero do qual são espécies a paternidade biológica e a paternidade não biológica</w:t>
      </w:r>
      <w:r w:rsidR="00F05B8C">
        <w:t>. Assim,</w:t>
      </w:r>
      <w:r>
        <w:t xml:space="preserve"> qualquer paternidade é necessariamente socioafetiva, podendo ter origem biológica ou não.</w:t>
      </w:r>
    </w:p>
    <w:p w14:paraId="650C186B" w14:textId="3BEC44A6" w:rsidR="00E146A5" w:rsidRDefault="00E146A5" w:rsidP="00E146A5">
      <w:pPr>
        <w:pStyle w:val="corpo"/>
      </w:pPr>
      <w:r>
        <w:t>A sistemática do dispositivo constitucional brasileiro, artigo 227, parágrafo 6º, com o artigo 1.596 do Código civil demonstram que</w:t>
      </w:r>
      <w:r w:rsidR="00EB5593">
        <w:t>,</w:t>
      </w:r>
      <w:r>
        <w:t xml:space="preserve"> além da filiação biológica e adotiva, estão protegidas outras espécies de filiação. Seja a originária de fecundação heteróloga, seja a advinda da filiação socioafetiva são merecedoras dos mesmos direitos, já que contribuem para a formação do elo parental. </w:t>
      </w:r>
    </w:p>
    <w:p w14:paraId="1C11A713" w14:textId="39DEBDD2" w:rsidR="00E146A5" w:rsidRDefault="00E146A5" w:rsidP="00E146A5">
      <w:pPr>
        <w:pStyle w:val="corpo"/>
      </w:pPr>
      <w:r w:rsidRPr="007F6CA2">
        <w:t xml:space="preserve">Em Portugal, </w:t>
      </w:r>
      <w:r>
        <w:t xml:space="preserve">o casamento é a principal fonte das relações familiares, que representa o núcleo da família. O casamento, originalmente, era considerado uma relação entre pessoas de sexos opostos, nos termos do que define o artigo 1577°, do Código Civil. No entanto, em 2010, a Lei n° 9, autorizou o casamento civil entre pessoas do mesmo sexo (artigo 1°), alterando o artigo 1577°, CC. O código civil português em seu artigo 1576° determina que as fontes das relações jurídicas familiares se restringem ao casamento, </w:t>
      </w:r>
      <w:r w:rsidR="0087170D">
        <w:t>a</w:t>
      </w:r>
      <w:r>
        <w:t xml:space="preserve">o parentesco, </w:t>
      </w:r>
      <w:r w:rsidR="002F5300">
        <w:t>à</w:t>
      </w:r>
      <w:r>
        <w:t xml:space="preserve"> afinidade e a adoção. Assim, diferentemente do que ocorre no Brasil, em que o conceito de família</w:t>
      </w:r>
      <w:r w:rsidR="00B87F60">
        <w:t xml:space="preserve"> é amplo</w:t>
      </w:r>
      <w:r>
        <w:t>, em Portugal existe uma delimitação das pessoas que as possam compor: cônjuges, parentes e afins, adotantes e adotados.</w:t>
      </w:r>
    </w:p>
    <w:p w14:paraId="6C435473" w14:textId="5CDC9A27" w:rsidR="00E146A5" w:rsidRDefault="00E146A5" w:rsidP="00E146A5">
      <w:pPr>
        <w:pStyle w:val="corpo"/>
      </w:pPr>
      <w:r>
        <w:t xml:space="preserve">A composição da família tem sofrido grande evolução. </w:t>
      </w:r>
      <w:r w:rsidR="00B87F60">
        <w:t>A</w:t>
      </w:r>
      <w:r>
        <w:t>s uniões de fato em Portugal estão reguladas pela Lei n° 7/2001. E</w:t>
      </w:r>
      <w:r w:rsidR="00B87F60">
        <w:t xml:space="preserve">ssas relações </w:t>
      </w:r>
      <w:r>
        <w:t>são situações de fato entre “duas pessoas que, independentemente do sexo, vivam em condições análogas às dos cônjuges há mais de dois anos” (artigo 1°). Nesses termos, verifica-se que a união de fato pode ser hetero ou homossexual. Além disso, a lei exige um requisito temporal de dois anos de convivência em condições idênticas às dos cônjuges. Aplica-se, então, à união de fato normas que regem o casamento, principalmente, os deveres de fidelidade, assistência e cooperação.</w:t>
      </w:r>
    </w:p>
    <w:p w14:paraId="6E0BA3BB" w14:textId="77777777" w:rsidR="00E146A5" w:rsidRDefault="00E146A5" w:rsidP="00E146A5">
      <w:pPr>
        <w:pStyle w:val="corpo"/>
      </w:pPr>
      <w:r>
        <w:t xml:space="preserve">No Direito Português, a união de fato não é considerada uma relação familiar. Ademais, nem é regulada de forma semelhante ao casamento, em que pese produza alguns efeitos jurídicos. Há grandes diferenças entre os institutos do casamento e da união de fato: enquanto o casamento é um contrato realizado pelos cônjuges, a união de fato é um estado, em que o conteúdo e duração estão adstritos às manifestações de vontade dos concubinos. Assim, os efeitos jurídicos das uniões de fato são mais restritos: tutela da colaboração econômica entre os concubinos e a proteção dos filhos nascidos dessa relação. </w:t>
      </w:r>
    </w:p>
    <w:p w14:paraId="4F9522C3" w14:textId="7833406E" w:rsidR="00E146A5" w:rsidRDefault="000E3471" w:rsidP="00E146A5">
      <w:pPr>
        <w:pStyle w:val="corpo"/>
      </w:pPr>
      <w:r>
        <w:t>Mais adiante, q</w:t>
      </w:r>
      <w:r w:rsidR="00E146A5">
        <w:t xml:space="preserve">uanto à filiação, </w:t>
      </w:r>
      <w:r>
        <w:t xml:space="preserve">o direito português regulamenta </w:t>
      </w:r>
      <w:r w:rsidR="00014FC2">
        <w:t xml:space="preserve">que </w:t>
      </w:r>
      <w:r>
        <w:t xml:space="preserve">esse vínculo </w:t>
      </w:r>
      <w:r w:rsidR="00E146A5">
        <w:t xml:space="preserve">se assenta essencialmente na procriação e nos laços de sangue. O estabelecimento da maternidade e da paternidade fixa-se na verdade biológica da filiação. A lei portuguesa tem a intenção de que os pais jurídicos sejam os pais naturais.   </w:t>
      </w:r>
    </w:p>
    <w:p w14:paraId="276366FC" w14:textId="3319EFF2" w:rsidR="00E146A5" w:rsidRDefault="00E146A5" w:rsidP="00E146A5">
      <w:pPr>
        <w:pStyle w:val="corpo"/>
      </w:pPr>
      <w:r>
        <w:t xml:space="preserve">Há um caso de filiação em que não coincide a filiação biológica com a jurídica: </w:t>
      </w:r>
      <w:r w:rsidR="009F57F5">
        <w:t xml:space="preserve">a </w:t>
      </w:r>
      <w:r>
        <w:t>filiação adotiva. O artigo 1586° conceitua a adoção como sendo um vínculo que, à semelhança da filiação natural, mas independentemente dos laços de sangue, estabelece</w:t>
      </w:r>
      <w:r w:rsidR="00014FC2">
        <w:t>-se</w:t>
      </w:r>
      <w:r>
        <w:t xml:space="preserve"> entre duas pessoas. A</w:t>
      </w:r>
      <w:r w:rsidR="00014FC2">
        <w:t>ssim, a</w:t>
      </w:r>
      <w:r>
        <w:t xml:space="preserve"> filiação adotiva, embora se diferencie da filiação biológica, produz os mesmos efeitos desta.</w:t>
      </w:r>
    </w:p>
    <w:p w14:paraId="2B72AAB7" w14:textId="3617E93F" w:rsidR="00382964" w:rsidRDefault="006675C1" w:rsidP="00E146A5">
      <w:pPr>
        <w:pStyle w:val="corpo"/>
      </w:pPr>
      <w:r>
        <w:t>Nesses termos</w:t>
      </w:r>
      <w:r w:rsidR="00382964">
        <w:t xml:space="preserve">, verificando que em Portugal há a preponderância do critério biológico </w:t>
      </w:r>
      <w:r w:rsidR="00E07DAC">
        <w:t xml:space="preserve">para </w:t>
      </w:r>
      <w:r w:rsidR="00382964">
        <w:t>o estabelecimento d</w:t>
      </w:r>
      <w:r w:rsidR="00E07DAC">
        <w:t>o vínculo entre pai e filho</w:t>
      </w:r>
      <w:r w:rsidR="00382964">
        <w:t>, a doutrina divide as modalidades de filiação em apenas três: filiação biológica, adotiva e por consentimento não adotivo.</w:t>
      </w:r>
    </w:p>
    <w:p w14:paraId="690BE7CC" w14:textId="77777777" w:rsidR="00260A16" w:rsidRDefault="00260A16" w:rsidP="00260A16"/>
    <w:p w14:paraId="08C87B98" w14:textId="77777777" w:rsidR="00260A16" w:rsidRDefault="00260A16" w:rsidP="00260A16">
      <w:pPr>
        <w:pStyle w:val="Ttulo3"/>
        <w:rPr>
          <w:b/>
          <w:bCs/>
        </w:rPr>
      </w:pPr>
      <w:bookmarkStart w:id="29" w:name="_Toc28034650"/>
      <w:r w:rsidRPr="00260A16">
        <w:rPr>
          <w:b/>
          <w:bCs/>
        </w:rPr>
        <w:t>Filiação Jurídica</w:t>
      </w:r>
      <w:bookmarkEnd w:id="29"/>
    </w:p>
    <w:p w14:paraId="0E3A1AB6" w14:textId="77777777" w:rsidR="000362E3" w:rsidRDefault="000362E3" w:rsidP="000362E3"/>
    <w:p w14:paraId="661F7D33" w14:textId="64E94D41" w:rsidR="000362E3" w:rsidRDefault="000362E3" w:rsidP="000362E3">
      <w:pPr>
        <w:pStyle w:val="corpo"/>
      </w:pPr>
      <w:r>
        <w:t xml:space="preserve">A filiação é uma ligação entre duas pessoas, de modo natural e também por meio jurídico, vínculo esse convencionado por lei, proporcionando direitos, assim como, estabelecendo deveres mútuos. </w:t>
      </w:r>
      <w:r w:rsidR="00915A40">
        <w:t>Desse modo</w:t>
      </w:r>
      <w:r>
        <w:t>, a filiação jurídica é “o vínculo paterno-filial reconhecido pela lei”</w:t>
      </w:r>
      <w:r>
        <w:rPr>
          <w:rStyle w:val="Refdenotaderodap"/>
          <w:szCs w:val="24"/>
        </w:rPr>
        <w:footnoteReference w:id="37"/>
      </w:r>
      <w:r>
        <w:t>.</w:t>
      </w:r>
    </w:p>
    <w:p w14:paraId="6112F97F" w14:textId="77777777" w:rsidR="000362E3" w:rsidRDefault="007F02DC" w:rsidP="000362E3">
      <w:pPr>
        <w:pStyle w:val="corpo"/>
      </w:pPr>
      <w:r>
        <w:t>Os fatos históricos nos mostram</w:t>
      </w:r>
      <w:r w:rsidR="000362E3">
        <w:t xml:space="preserve"> que o antigo Código Civil brasileiro de 1916 operava verdadeira discriminação ao c</w:t>
      </w:r>
      <w:r w:rsidR="008F234F">
        <w:t>lassificar</w:t>
      </w:r>
      <w:r w:rsidR="000362E3">
        <w:t xml:space="preserve"> os filhos consanguíneos, inclusive estabelecendo distinção entre estes e os adotivos, mas, principalmente, atribuindo-lhes </w:t>
      </w:r>
      <w:r w:rsidR="000362E3" w:rsidRPr="00D16025">
        <w:rPr>
          <w:i/>
        </w:rPr>
        <w:t>status</w:t>
      </w:r>
      <w:r w:rsidR="000362E3">
        <w:t xml:space="preserve"> de legítimos ou ilegítimos, </w:t>
      </w:r>
      <w:r w:rsidR="001E0CD6">
        <w:t xml:space="preserve">em razão </w:t>
      </w:r>
      <w:r w:rsidR="000362E3">
        <w:t>de suas origens – se nascidos na constância do casamento ou fora dele</w:t>
      </w:r>
      <w:r w:rsidR="00A91466">
        <w:rPr>
          <w:rStyle w:val="Refdenotaderodap"/>
        </w:rPr>
        <w:footnoteReference w:id="38"/>
      </w:r>
      <w:r w:rsidR="000362E3">
        <w:t xml:space="preserve">. </w:t>
      </w:r>
    </w:p>
    <w:p w14:paraId="2FFA7386" w14:textId="2D221D25" w:rsidR="000362E3" w:rsidRDefault="000362E3" w:rsidP="000362E3">
      <w:pPr>
        <w:pStyle w:val="corpo"/>
      </w:pPr>
      <w:r>
        <w:t>Os ori</w:t>
      </w:r>
      <w:r w:rsidR="00A91466">
        <w:t xml:space="preserve">ginados </w:t>
      </w:r>
      <w:r>
        <w:t xml:space="preserve">das </w:t>
      </w:r>
      <w:r w:rsidR="007F02DC">
        <w:t>“</w:t>
      </w:r>
      <w:r>
        <w:t>justas núpcias</w:t>
      </w:r>
      <w:r w:rsidR="007F02DC">
        <w:t>”</w:t>
      </w:r>
      <w:r>
        <w:t xml:space="preserve"> eram os legítimos, </w:t>
      </w:r>
      <w:r w:rsidR="00A91466">
        <w:t>ao passo que,</w:t>
      </w:r>
      <w:r>
        <w:t xml:space="preserve"> não havendo casamento entre os pais, falava-se em filhos ilegítimos, que, por sua vez, eram naturais ou espúrios: naturais, se entre os pais não houvesse impedimento para o casamento, e espúrios, quando houvesse </w:t>
      </w:r>
      <w:r w:rsidR="008324B1">
        <w:t>vedação</w:t>
      </w:r>
      <w:r>
        <w:t xml:space="preserve"> legal para a união conjugal</w:t>
      </w:r>
      <w:r w:rsidR="00D11A3D">
        <w:t>. D</w:t>
      </w:r>
      <w:r>
        <w:t xml:space="preserve">ecorria daí outra classificação: seriam </w:t>
      </w:r>
      <w:r w:rsidR="008324B1">
        <w:t xml:space="preserve">conceituados como </w:t>
      </w:r>
      <w:r>
        <w:t xml:space="preserve">adulterinos </w:t>
      </w:r>
      <w:r w:rsidR="008324B1">
        <w:t>caso</w:t>
      </w:r>
      <w:r>
        <w:t xml:space="preserve"> a </w:t>
      </w:r>
      <w:r w:rsidR="008324B1">
        <w:t xml:space="preserve">proibição adviesse </w:t>
      </w:r>
      <w:r>
        <w:t>do fato de um deles, ou ambos, serem casados, e incestuosos, se resultasse o impedimento de parentesco próximo</w:t>
      </w:r>
      <w:r w:rsidR="00D11A3D">
        <w:t>.</w:t>
      </w:r>
    </w:p>
    <w:p w14:paraId="362EB538" w14:textId="0CB18F4F" w:rsidR="000362E3" w:rsidRDefault="000362E3" w:rsidP="000362E3">
      <w:pPr>
        <w:pStyle w:val="corpo"/>
      </w:pPr>
      <w:r>
        <w:t>Vemos que a filiação jurídica no Código Civil de 1916 decorria do casamento, não se levando em conta a origem biológica do filho</w:t>
      </w:r>
      <w:r w:rsidR="00E45A3A">
        <w:t>.</w:t>
      </w:r>
      <w:r>
        <w:t xml:space="preserve"> </w:t>
      </w:r>
      <w:r w:rsidR="00E45A3A">
        <w:t>U</w:t>
      </w:r>
      <w:r>
        <w:t xml:space="preserve">ma vez havido na constância daquela união, era </w:t>
      </w:r>
      <w:r w:rsidR="00E45A3A">
        <w:t>quase</w:t>
      </w:r>
      <w:r>
        <w:t xml:space="preserve"> impossível que fosse filho de outro homem, senão do marido. A distinção operada naquele diploma era em total desfavor dos filhos chamado</w:t>
      </w:r>
      <w:r w:rsidR="00E45A3A">
        <w:t>s</w:t>
      </w:r>
      <w:r w:rsidR="004F43D7">
        <w:t xml:space="preserve"> </w:t>
      </w:r>
      <w:r>
        <w:t xml:space="preserve">bastardos: a prole havida fora do casamento era punida, marginalizada em prol da manutenção do núcleo familiar, da paz doméstica e, especialmente, em nome do resguardo do patrimônio </w:t>
      </w:r>
      <w:r w:rsidR="00E45A3A">
        <w:t xml:space="preserve">da </w:t>
      </w:r>
      <w:r>
        <w:t>fam</w:t>
      </w:r>
      <w:r w:rsidR="00E45A3A">
        <w:t>í</w:t>
      </w:r>
      <w:r>
        <w:t>lia</w:t>
      </w:r>
      <w:r>
        <w:rPr>
          <w:rStyle w:val="Refdenotaderodap"/>
          <w:szCs w:val="24"/>
        </w:rPr>
        <w:footnoteReference w:id="39"/>
      </w:r>
      <w:r>
        <w:t xml:space="preserve">. </w:t>
      </w:r>
    </w:p>
    <w:p w14:paraId="38EB0182" w14:textId="68B9AC22" w:rsidR="000362E3" w:rsidRDefault="000362E3" w:rsidP="000362E3">
      <w:pPr>
        <w:pStyle w:val="corpo"/>
      </w:pPr>
      <w:r>
        <w:t xml:space="preserve">Clóvis </w:t>
      </w:r>
      <w:proofErr w:type="spellStart"/>
      <w:r>
        <w:t>Beviláqua</w:t>
      </w:r>
      <w:proofErr w:type="spellEnd"/>
      <w:r>
        <w:t xml:space="preserve"> posicionando-se de forma contrária à classificação flagrantemente discriminatória que operava o Código Civil brasileiro de sua época, asseverava: “a falta é cometida pelos pais, e a desonra recai sobre os filhos. A indignidade está no fato do incesto e do adultério, mas a lei procede como se estivesse nos frutos infelizes dessas uniões condenadas”</w:t>
      </w:r>
      <w:r>
        <w:rPr>
          <w:rStyle w:val="Refdenotaderodap"/>
          <w:szCs w:val="24"/>
        </w:rPr>
        <w:footnoteReference w:id="40"/>
      </w:r>
      <w:r>
        <w:t>. De fato, aos pais operava-se vantagem, em prejuízo dos filhos, já que aqueles se furtavam das obrigações do poder familiar, enquanto a</w:t>
      </w:r>
      <w:r w:rsidR="00C0390A">
        <w:t>os filhos</w:t>
      </w:r>
      <w:r w:rsidR="000E7060">
        <w:t xml:space="preserve"> extramatrimoniais</w:t>
      </w:r>
      <w:r>
        <w:t xml:space="preserve"> eram negados os direitos regularmente conferidos aos filhos havidos no casamento, amparados pela presunção de paternidade.</w:t>
      </w:r>
    </w:p>
    <w:p w14:paraId="2AA59BBD" w14:textId="2851F48E" w:rsidR="000362E3" w:rsidRDefault="000362E3" w:rsidP="008A203C">
      <w:pPr>
        <w:pStyle w:val="corpo"/>
        <w:tabs>
          <w:tab w:val="clear" w:pos="4252"/>
          <w:tab w:val="clear" w:pos="8504"/>
        </w:tabs>
      </w:pPr>
      <w:r>
        <w:t xml:space="preserve">Mais adiante no Brasil houve a edição do Decreto-lei n° 4737/1942 e da Lei n° 883/1949 que </w:t>
      </w:r>
      <w:r w:rsidR="00C337AC">
        <w:t>inseriram no</w:t>
      </w:r>
      <w:r>
        <w:t xml:space="preserve"> sistema jurídico</w:t>
      </w:r>
      <w:r w:rsidR="00C337AC">
        <w:t xml:space="preserve"> brasileiro</w:t>
      </w:r>
      <w:r>
        <w:t xml:space="preserve"> a possibilidade dos reconhecimentos de filhos havidos fora do casamento</w:t>
      </w:r>
      <w:r w:rsidR="00E5344F">
        <w:t>, mas,</w:t>
      </w:r>
      <w:r>
        <w:t xml:space="preserve"> apenas após a dissolução do mesmo. Posteriormente, a Lei n° 883/1949 foi alterada pela Lei do Divórcio (Lei n° 6.515/1977), </w:t>
      </w:r>
      <w:r w:rsidR="00E5344F">
        <w:t xml:space="preserve">em que </w:t>
      </w:r>
      <w:r>
        <w:t>se permiti</w:t>
      </w:r>
      <w:r w:rsidR="00E5344F">
        <w:t>u</w:t>
      </w:r>
      <w:r>
        <w:t xml:space="preserve"> o reconhecimento de filho extramatrimonial na constância do casamento</w:t>
      </w:r>
      <w:r w:rsidR="00E5344F">
        <w:t>,</w:t>
      </w:r>
      <w:r>
        <w:t xml:space="preserve"> nos casos em que houvesse testamento cerrado.</w:t>
      </w:r>
    </w:p>
    <w:p w14:paraId="2E546E63" w14:textId="77777777" w:rsidR="008C2F39" w:rsidRDefault="000A2AFE" w:rsidP="008A203C">
      <w:pPr>
        <w:pStyle w:val="corpo"/>
        <w:tabs>
          <w:tab w:val="clear" w:pos="4252"/>
          <w:tab w:val="clear" w:pos="8504"/>
        </w:tabs>
      </w:pPr>
      <w:r>
        <w:t xml:space="preserve">Em Portugal, </w:t>
      </w:r>
      <w:r w:rsidR="008C2F39">
        <w:t>o direito de filiação tem um sentido amplo, que engloba a filiação biológica e a jurídica, sendo que ambas podem coincidir ou não, bem como há a filiação em sentido estrito. Esta abrange as filiações advindas do critério biológico</w:t>
      </w:r>
      <w:r w:rsidR="00593A37">
        <w:t>. Já a filiação em sentido amplo abarca tanto aquelas geradas pelo vínculo biológico, quanto a afetiva e meramente jurídica, como é o caso da adoção</w:t>
      </w:r>
      <w:r w:rsidR="00705ACB">
        <w:rPr>
          <w:rStyle w:val="Refdenotaderodap"/>
        </w:rPr>
        <w:footnoteReference w:id="41"/>
      </w:r>
      <w:r w:rsidR="00593A37">
        <w:t xml:space="preserve">. </w:t>
      </w:r>
    </w:p>
    <w:p w14:paraId="781BA5CD" w14:textId="77777777" w:rsidR="00C90784" w:rsidRDefault="00C90784" w:rsidP="008A203C">
      <w:pPr>
        <w:pStyle w:val="corpo"/>
        <w:tabs>
          <w:tab w:val="clear" w:pos="4252"/>
          <w:tab w:val="clear" w:pos="8504"/>
        </w:tabs>
      </w:pPr>
      <w:r>
        <w:t>Nesse</w:t>
      </w:r>
      <w:r w:rsidR="002F156E">
        <w:t>s</w:t>
      </w:r>
      <w:r>
        <w:t xml:space="preserve"> termos, Jorge Duarte Pinheiro nos ensina que, em sentido estrito, a filiação é a “relação jurídica estabelecida entre as pessoas que procriaram e aquelas que foram geradas”. E, “em sentido amplo, à filiação corresponde quer a relação jurídica familiar constituída pela procriação quer a relação que, não tendo origem no fenômeno da procriação, produza efeitos jurídicos similares”</w:t>
      </w:r>
      <w:r w:rsidR="003519CE">
        <w:rPr>
          <w:rStyle w:val="Refdenotaderodap"/>
        </w:rPr>
        <w:footnoteReference w:id="42"/>
      </w:r>
      <w:r w:rsidR="003519CE">
        <w:t>.</w:t>
      </w:r>
      <w:r>
        <w:t xml:space="preserve"> </w:t>
      </w:r>
    </w:p>
    <w:p w14:paraId="57B4A182" w14:textId="77777777" w:rsidR="000362E3" w:rsidRDefault="000362E3" w:rsidP="000362E3">
      <w:pPr>
        <w:pStyle w:val="corpo"/>
      </w:pPr>
      <w:r>
        <w:t>A sociedade evolui, e o Direito</w:t>
      </w:r>
      <w:r w:rsidR="008324B1">
        <w:t>, tendo o dever de observar</w:t>
      </w:r>
      <w:r>
        <w:t xml:space="preserve"> as modificações sociais, e científicas, atualiza-se, ainda que na velocidade que a si mesmo impõe, diante da sua natureza conservadora. Desta forma, o legislador constituinte</w:t>
      </w:r>
      <w:r w:rsidR="008324B1">
        <w:t xml:space="preserve"> trouxe respostas</w:t>
      </w:r>
      <w:r>
        <w:t xml:space="preserve"> à principal mudança ocorrida na sociedade brasileira naquele contexto, reconhecendo e legitimando outras formas de famílias que existiam paralelamente ao casamento.</w:t>
      </w:r>
    </w:p>
    <w:p w14:paraId="47A4D1C4" w14:textId="32EF119B" w:rsidR="000362E3" w:rsidRDefault="000362E3" w:rsidP="008A203C">
      <w:pPr>
        <w:pStyle w:val="corpo"/>
        <w:tabs>
          <w:tab w:val="clear" w:pos="4252"/>
          <w:tab w:val="clear" w:pos="8504"/>
        </w:tabs>
      </w:pPr>
      <w:r>
        <w:t xml:space="preserve">Entretanto, o legislador não inovou para compreender toda a realidade, isto é, outras formas de entidade familiar ficaram à margem da lei e, ao longo desses últimos anos continuaram a reivindicar </w:t>
      </w:r>
      <w:r w:rsidR="00A641EC">
        <w:t xml:space="preserve">a equiparação </w:t>
      </w:r>
      <w:r>
        <w:t xml:space="preserve">de direitos. </w:t>
      </w:r>
      <w:r w:rsidR="0099007C">
        <w:t>A</w:t>
      </w:r>
      <w:r>
        <w:t xml:space="preserve"> demonstração mais contemporânea de que o Direito resiste, mas </w:t>
      </w:r>
      <w:r w:rsidR="0099007C">
        <w:t>que ao final se enverga</w:t>
      </w:r>
      <w:r>
        <w:t xml:space="preserve"> às modificações sociais</w:t>
      </w:r>
      <w:r w:rsidR="0099007C">
        <w:t xml:space="preserve"> são os</w:t>
      </w:r>
      <w:r>
        <w:t xml:space="preserve"> casais homoafetivos. É assim que o Direito de Família faz justiça com a realidade fática, que passa a ser também jurídica. </w:t>
      </w:r>
    </w:p>
    <w:p w14:paraId="1910285E" w14:textId="77777777" w:rsidR="000362E3" w:rsidRPr="00AD56B6" w:rsidRDefault="000362E3" w:rsidP="000362E3">
      <w:pPr>
        <w:pStyle w:val="corpo"/>
      </w:pPr>
      <w:r>
        <w:t>A Constituição Federal brasileira de 1988 re</w:t>
      </w:r>
      <w:r w:rsidR="00140C42">
        <w:t>formulou</w:t>
      </w:r>
      <w:r>
        <w:t xml:space="preserve"> a legislação referente à filiação</w:t>
      </w:r>
      <w:r w:rsidR="00140C42">
        <w:t>: foi fixada</w:t>
      </w:r>
      <w:r>
        <w:t xml:space="preserve"> a absoluta igualdade entre os filhos, </w:t>
      </w:r>
      <w:r w:rsidR="00140C42">
        <w:t xml:space="preserve">em que </w:t>
      </w:r>
      <w:r>
        <w:t>super</w:t>
      </w:r>
      <w:r w:rsidR="00140C42">
        <w:t>ou</w:t>
      </w:r>
      <w:r>
        <w:t xml:space="preserve"> a distinção entre filiação legítima, ilegítima e adotiva. </w:t>
      </w:r>
      <w:r w:rsidR="00140C42">
        <w:t>Atualmente</w:t>
      </w:r>
      <w:r>
        <w:t xml:space="preserve">, </w:t>
      </w:r>
      <w:r w:rsidR="00042E7D">
        <w:t xml:space="preserve">todos os </w:t>
      </w:r>
      <w:r>
        <w:t>filhos</w:t>
      </w:r>
      <w:r w:rsidR="00042E7D">
        <w:t xml:space="preserve"> são iguais</w:t>
      </w:r>
      <w:r>
        <w:t xml:space="preserve">, </w:t>
      </w:r>
      <w:r w:rsidR="00042E7D">
        <w:t>em</w:t>
      </w:r>
      <w:r>
        <w:t xml:space="preserve"> direitos e deveres</w:t>
      </w:r>
      <w:r>
        <w:rPr>
          <w:rStyle w:val="Refdenotaderodap"/>
          <w:szCs w:val="24"/>
        </w:rPr>
        <w:footnoteReference w:id="43"/>
      </w:r>
      <w:r>
        <w:t>, proibida, qualquer adjetivação ou designação discriminatória.</w:t>
      </w:r>
    </w:p>
    <w:p w14:paraId="1BE961A9" w14:textId="77777777" w:rsidR="000362E3" w:rsidRDefault="000362E3" w:rsidP="003404C3">
      <w:pPr>
        <w:pStyle w:val="corpo"/>
        <w:tabs>
          <w:tab w:val="clear" w:pos="4252"/>
          <w:tab w:val="clear" w:pos="8504"/>
        </w:tabs>
      </w:pPr>
      <w:r>
        <w:t>Em consonância com o princípio</w:t>
      </w:r>
      <w:r w:rsidR="006237A6">
        <w:t xml:space="preserve"> da igualdade entre os filhos</w:t>
      </w:r>
      <w:r>
        <w:t>, o atual Código Civil brasileiro de 2002, estabeleceu que os filhos, havidos ou não da relação do casamento, ou por adoção, terão os mesmos direitos e qualificações, proibidas quaisquer designações discriminatórias, relativas à filiação</w:t>
      </w:r>
      <w:r>
        <w:rPr>
          <w:rStyle w:val="Refdenotaderodap"/>
          <w:szCs w:val="24"/>
        </w:rPr>
        <w:footnoteReference w:id="44"/>
      </w:r>
      <w:r>
        <w:t xml:space="preserve">. </w:t>
      </w:r>
      <w:r w:rsidR="009E1B35">
        <w:t>Quanto aos</w:t>
      </w:r>
      <w:r>
        <w:t xml:space="preserve"> filhos havidos fora do casamento, </w:t>
      </w:r>
      <w:r w:rsidR="009E1B35">
        <w:t xml:space="preserve">em razão de não serem beneficiados pela </w:t>
      </w:r>
      <w:r>
        <w:t xml:space="preserve">presunção de paternidade, adquirirão o vínculo jurídico de filiação através do reconhecimento de paternidade, que </w:t>
      </w:r>
      <w:r w:rsidR="009E1B35">
        <w:t>poderá ser realizado na via extrajudicial</w:t>
      </w:r>
      <w:r>
        <w:t xml:space="preserve"> ou judicial.</w:t>
      </w:r>
    </w:p>
    <w:p w14:paraId="63545D1F" w14:textId="77777777" w:rsidR="00260A16" w:rsidRPr="00260A16" w:rsidRDefault="00260A16" w:rsidP="00260A16"/>
    <w:p w14:paraId="3685481A" w14:textId="77777777" w:rsidR="00260A16" w:rsidRDefault="00260A16" w:rsidP="00260A16">
      <w:pPr>
        <w:pStyle w:val="Ttulo3"/>
        <w:rPr>
          <w:b/>
          <w:bCs/>
        </w:rPr>
      </w:pPr>
      <w:bookmarkStart w:id="30" w:name="_Toc28034651"/>
      <w:r w:rsidRPr="00260A16">
        <w:rPr>
          <w:b/>
          <w:bCs/>
        </w:rPr>
        <w:t xml:space="preserve">Filiação </w:t>
      </w:r>
      <w:r w:rsidR="00367433">
        <w:rPr>
          <w:b/>
          <w:bCs/>
        </w:rPr>
        <w:t>Biológica</w:t>
      </w:r>
      <w:bookmarkEnd w:id="30"/>
    </w:p>
    <w:p w14:paraId="322BDF1E" w14:textId="77777777" w:rsidR="00367433" w:rsidRDefault="00367433" w:rsidP="00367433"/>
    <w:p w14:paraId="581B5B49" w14:textId="77777777" w:rsidR="00B70872" w:rsidRDefault="00B70872" w:rsidP="00B70872">
      <w:pPr>
        <w:pStyle w:val="corpo"/>
      </w:pPr>
      <w:r>
        <w:t xml:space="preserve">A filiação biológica é a que decorre dos laços sanguíneos que une o sujeito a seus ascendentes em linha reta de primeiro grau. Pais e filhos, nesse caso, são unidos por compartilharem materiais genéticos análogos. Para Fábio </w:t>
      </w:r>
      <w:proofErr w:type="spellStart"/>
      <w:r>
        <w:t>Ulhoa</w:t>
      </w:r>
      <w:proofErr w:type="spellEnd"/>
      <w:r>
        <w:t xml:space="preserve"> Coelho, em princípio, o conceito biológico da filiação é simples, e acrescenta que a “filiação é biológica quando o filho porta a herança genética de quem consta como pai e mãe de seu registro de nascimento. Pode ser natural, se a concepção derivou de relação sexual entre os genitores, ou não, quando feita </w:t>
      </w:r>
      <w:r w:rsidRPr="00AD5652">
        <w:rPr>
          <w:i/>
        </w:rPr>
        <w:t>in vitro</w:t>
      </w:r>
      <w:r>
        <w:rPr>
          <w:rStyle w:val="Refdenotaderodap"/>
          <w:i/>
          <w:szCs w:val="24"/>
        </w:rPr>
        <w:footnoteReference w:id="45"/>
      </w:r>
      <w:r>
        <w:t xml:space="preserve">”. </w:t>
      </w:r>
    </w:p>
    <w:p w14:paraId="2C89F41C" w14:textId="521C60F2" w:rsidR="004C4124" w:rsidRDefault="00B70872" w:rsidP="00B70872">
      <w:pPr>
        <w:pStyle w:val="corpo"/>
      </w:pPr>
      <w:r>
        <w:t xml:space="preserve">Esse tipo de filiação já era protegido pelo Código Civil brasileiro de 1916, e permanece no atual Código de 2002, ou seja, sempre foi consagrado pelo ordenamento jurídico como fundamental para a formação da entidade familiar. </w:t>
      </w:r>
    </w:p>
    <w:p w14:paraId="4366A1ED" w14:textId="45F834EE" w:rsidR="00B70872" w:rsidRDefault="00B70872" w:rsidP="00B70872">
      <w:pPr>
        <w:pStyle w:val="corpo"/>
      </w:pPr>
      <w:r>
        <w:t>Em Portugal, a filiação biológica é também denominada de filiação em sentido estrito, e está prevista no artigo 1578° do Código Civil.</w:t>
      </w:r>
      <w:r w:rsidR="004C4124">
        <w:t xml:space="preserve"> O sistema jurídico português, quanto ao estabelecimento da filiação, está assentado nas origens biológicas, havendo uma </w:t>
      </w:r>
      <w:r w:rsidR="00581FA5">
        <w:t xml:space="preserve">abertura </w:t>
      </w:r>
      <w:r w:rsidR="004C4124">
        <w:t xml:space="preserve">maior </w:t>
      </w:r>
      <w:r w:rsidR="00581FA5">
        <w:t>no</w:t>
      </w:r>
      <w:r w:rsidR="004C4124">
        <w:t xml:space="preserve"> estabelecimento desse tipo de filiação. Verifica-se a tendência biologista no sistema lusitano.</w:t>
      </w:r>
      <w:r w:rsidR="00055DB9">
        <w:t xml:space="preserve"> Assim, há uma tentativa de que haja a coincidência da filiação biológica com a jurídica.</w:t>
      </w:r>
      <w:r w:rsidR="004C4124">
        <w:t xml:space="preserve"> </w:t>
      </w:r>
    </w:p>
    <w:p w14:paraId="535ECD13" w14:textId="4CC60412" w:rsidR="00B70872" w:rsidRDefault="00B70872" w:rsidP="00B70872">
      <w:pPr>
        <w:pStyle w:val="corpo"/>
      </w:pPr>
      <w:r>
        <w:t>A filiação biológica pode ser resultado da reprodução natural, isto é, a que envolve a relação sexual e a consequente concepção, sendo que “para a biologia, pai é quem, em uma relação sexual, fecunda uma mulher que, levando a gestação a termo, dá à luz um filho</w:t>
      </w:r>
      <w:r>
        <w:rPr>
          <w:rStyle w:val="Refdenotaderodap"/>
          <w:szCs w:val="24"/>
        </w:rPr>
        <w:footnoteReference w:id="46"/>
      </w:r>
      <w:r>
        <w:t xml:space="preserve">”. </w:t>
      </w:r>
      <w:r w:rsidR="0031365A">
        <w:t>A</w:t>
      </w:r>
      <w:r>
        <w:t xml:space="preserve"> filiação biológica pode ser também oriunda da reprodução artificial, que não deriva da atividade sexual, mas, sim, de técnicas de reprodução assistida para a viabilização da gestação, difícil ou impossível naturalmente, devido a alguma complicação no processo reprodutivo: “As facilidades que os métodos de reprodução assistida trouxeram permitem a qualquer um realizar o sonho de ter filhos. Assim, não precisa ser casado, ter um par ou mesmo manter uma relação sexual”</w:t>
      </w:r>
      <w:r>
        <w:rPr>
          <w:rStyle w:val="Refdenotaderodap"/>
          <w:szCs w:val="24"/>
        </w:rPr>
        <w:footnoteReference w:id="47"/>
      </w:r>
      <w:r>
        <w:t xml:space="preserve">. </w:t>
      </w:r>
    </w:p>
    <w:p w14:paraId="76EE32C8" w14:textId="6AB8A19A" w:rsidR="00557A66" w:rsidRDefault="00B70872" w:rsidP="00B70872">
      <w:pPr>
        <w:pStyle w:val="corpo"/>
      </w:pPr>
      <w:r>
        <w:t xml:space="preserve">Segundo Fabio </w:t>
      </w:r>
      <w:proofErr w:type="spellStart"/>
      <w:r>
        <w:t>Ulhoa</w:t>
      </w:r>
      <w:proofErr w:type="spellEnd"/>
      <w:r>
        <w:t xml:space="preserve"> Coelho, há casos de filiação biológica que independem do contato sexual entre o pai e a mãe. A chamada filiação por substituição, que, em resumo seria o embrião reproduzido com os gametas do casal e implantado no útero de outra mulher, vulgarmente conhecida por “barriga de aluguel”</w:t>
      </w:r>
      <w:r>
        <w:rPr>
          <w:rStyle w:val="Refdenotaderodap"/>
          <w:szCs w:val="24"/>
        </w:rPr>
        <w:footnoteReference w:id="48"/>
      </w:r>
      <w:r>
        <w:t>.</w:t>
      </w:r>
      <w:r w:rsidR="00420831">
        <w:t xml:space="preserve"> Em Portugal, essa técnica é chamada de gestação de substituição, e está prevista na Lei n° 32/2006. </w:t>
      </w:r>
      <w:r w:rsidR="00FC7548">
        <w:t xml:space="preserve">Quando a citada lei foi promulgada em 2006, era veemente proibida a “barriga de aluguer”. Apenas em 2016, com a alteração trazida pela Lei nº 25/2016, foi introduzido </w:t>
      </w:r>
      <w:r w:rsidR="00C21139">
        <w:t>no</w:t>
      </w:r>
      <w:r w:rsidR="00FC7548">
        <w:t xml:space="preserve"> artigo 2º, nº 2, a possibilidade da gestação de substituição, que foi elencada pela lei como uma técnica de procriação medicamente assistida (PMA).</w:t>
      </w:r>
      <w:r w:rsidR="00557A66">
        <w:t xml:space="preserve"> </w:t>
      </w:r>
    </w:p>
    <w:p w14:paraId="2B1F1D8A" w14:textId="77777777" w:rsidR="00557A66" w:rsidRPr="00557A66" w:rsidRDefault="00557A66" w:rsidP="00557A66">
      <w:pPr>
        <w:rPr>
          <w:b w:val="0"/>
          <w:bCs/>
        </w:rPr>
      </w:pPr>
      <w:r w:rsidRPr="00557A66">
        <w:rPr>
          <w:b w:val="0"/>
          <w:bCs/>
        </w:rPr>
        <w:t>A referida lei regula o acesso à gestação de substituição nos casos de ausência de útero, de lesão ou de doença deste órgão que impeça de forma absoluta e definitiva a gravidez da mulher ou em situações clínicas que o justifiquem. A lei n</w:t>
      </w:r>
      <w:r w:rsidRPr="00557A66">
        <w:rPr>
          <w:rFonts w:cs="Times New Roman"/>
          <w:b w:val="0"/>
          <w:bCs/>
        </w:rPr>
        <w:t>º 32/2006</w:t>
      </w:r>
      <w:r w:rsidRPr="00557A66">
        <w:rPr>
          <w:b w:val="0"/>
          <w:bCs/>
        </w:rPr>
        <w:t xml:space="preserve"> prescreve em seu artigo 3</w:t>
      </w:r>
      <w:r w:rsidRPr="00557A66">
        <w:rPr>
          <w:rFonts w:cs="Times New Roman"/>
          <w:b w:val="0"/>
          <w:bCs/>
        </w:rPr>
        <w:t xml:space="preserve">º, </w:t>
      </w:r>
      <w:r w:rsidRPr="00557A66">
        <w:rPr>
          <w:b w:val="0"/>
          <w:bCs/>
        </w:rPr>
        <w:t xml:space="preserve">que </w:t>
      </w:r>
      <w:proofErr w:type="gramStart"/>
      <w:r w:rsidRPr="00557A66">
        <w:rPr>
          <w:b w:val="0"/>
          <w:bCs/>
        </w:rPr>
        <w:t>as técnicas de procriação medicamente</w:t>
      </w:r>
      <w:proofErr w:type="gramEnd"/>
      <w:r w:rsidRPr="00557A66">
        <w:rPr>
          <w:b w:val="0"/>
          <w:bCs/>
        </w:rPr>
        <w:t xml:space="preserve"> assistidas, incluindo as realizadas no âmbito das situações de gestação de substituição, devem respeitar a dignidade humana de todas as pessoas envolvidas.</w:t>
      </w:r>
    </w:p>
    <w:p w14:paraId="63BD0CC6" w14:textId="77777777" w:rsidR="00557A66" w:rsidRDefault="00557A66" w:rsidP="00557A66">
      <w:r w:rsidRPr="00557A66">
        <w:rPr>
          <w:b w:val="0"/>
          <w:bCs/>
        </w:rPr>
        <w:t>Segundo a legislação portuguesa, a gestação de substituição não pode ocorrer de forma onerosa. Dessa forma, é proibido qualquer tipo de pagamento ou a doação de qualquer bem ou quantia à gestante de substituição, exceto o valor correspondente às despesas decorrentes do acompanhamento de saúde efetivamente prestado, incluindo em transportes, desde que devidamente tituladas em documento próprio.</w:t>
      </w:r>
    </w:p>
    <w:p w14:paraId="669FF95E" w14:textId="430E415E" w:rsidR="00B70872" w:rsidRDefault="009F6909" w:rsidP="00B70872">
      <w:pPr>
        <w:pStyle w:val="corpo"/>
      </w:pPr>
      <w:r>
        <w:t>No entanto</w:t>
      </w:r>
      <w:r w:rsidR="00B70872">
        <w:t xml:space="preserve">, existem casos de filiação por substituição que fogem ao conceito de filiação biológica natural, quais sejam: a) fertilização assistida homóloga, </w:t>
      </w:r>
      <w:r w:rsidR="00990D5D">
        <w:t xml:space="preserve">em que </w:t>
      </w:r>
      <w:r w:rsidR="00B70872">
        <w:t>o gameta de um dos membros do casal</w:t>
      </w:r>
      <w:r w:rsidR="00990D5D">
        <w:t xml:space="preserve"> é fecundado</w:t>
      </w:r>
      <w:r w:rsidR="00B70872">
        <w:t xml:space="preserve"> com o gameta de uma terceira pessoa alheia à relação, e o embrião é implantado no útero da esposa, ou convivente. Nesse caso, não haverá coincidência entre a verdade genética de um dos polos, com a verdade registral; b) o homem fornece seu gameta à outra mulher, alheia à relação do casal, e o embrião é implantado no útero de uma terceira mulher, também alheia ao relacionamento. Nesse caso também não coincidirá a mãe registral com a mãe genética; c) a mulher fornece o gameta </w:t>
      </w:r>
      <w:r w:rsidR="000A7485">
        <w:t>a</w:t>
      </w:r>
      <w:r w:rsidR="00B70872">
        <w:t xml:space="preserve"> outro homem alheio à relação do casal, e outra mulher também alheia à relação fornece o útero. Nesse caso, pode-se dizer que é uma fecundação assistida heteróloga, combinada com a “barriga de aluguel”</w:t>
      </w:r>
      <w:r w:rsidR="00B70872">
        <w:rPr>
          <w:rStyle w:val="Refdenotaderodap"/>
          <w:szCs w:val="24"/>
        </w:rPr>
        <w:footnoteReference w:id="49"/>
      </w:r>
      <w:r w:rsidR="00B70872">
        <w:t>.</w:t>
      </w:r>
    </w:p>
    <w:p w14:paraId="222E8B81" w14:textId="2FD72B4E" w:rsidR="00B70872" w:rsidRDefault="00B70872" w:rsidP="00B70872">
      <w:pPr>
        <w:pStyle w:val="corpo"/>
      </w:pPr>
      <w:r>
        <w:t>Sem dúvida o tema é controvertido e os avanços da medicina geram situações inusitadas no âmbito da família</w:t>
      </w:r>
      <w:r w:rsidR="000A7485">
        <w:t>. C</w:t>
      </w:r>
      <w:r>
        <w:t xml:space="preserve">ontudo, nem todas as possibilidades que a ciência pode proporcionar são aceitas do ponto de vista da ética médica. Anote-se que o fator biológico tem verdadeira importância nas relações paterno-materno-filiais. </w:t>
      </w:r>
      <w:r w:rsidR="00D43C86">
        <w:t>Assim</w:t>
      </w:r>
      <w:r>
        <w:t>, é facultada a investigação da verdade genética aos pais, e aos filhos, na forma da lei. Na investigação se, antes o poder probatório biológico era restrito, atualmente uma das formas de investigação mais segura, não invalidando as outras, é o exame de DNA.</w:t>
      </w:r>
    </w:p>
    <w:p w14:paraId="6EAA8D1B" w14:textId="77777777" w:rsidR="00B70872" w:rsidRDefault="00B70872" w:rsidP="00B70872">
      <w:pPr>
        <w:pStyle w:val="corpo"/>
      </w:pPr>
      <w:r>
        <w:t xml:space="preserve">Logo, a partir do avanço das pesquisas e da utilização do exame de DNA, tem-se uma possível certeza da determinação do vínculo genético do pai, ou mãe, com seu filho. O exame </w:t>
      </w:r>
      <w:r w:rsidR="006A21B2">
        <w:t>e</w:t>
      </w:r>
      <w:r>
        <w:t>m tela, tem uma margem de erro ínfima, conseguindo-se 99,999% de certeza científica da paternidade</w:t>
      </w:r>
      <w:r>
        <w:rPr>
          <w:rStyle w:val="Refdenotaderodap"/>
          <w:szCs w:val="24"/>
        </w:rPr>
        <w:footnoteReference w:id="50"/>
      </w:r>
      <w:r>
        <w:t xml:space="preserve">. </w:t>
      </w:r>
    </w:p>
    <w:p w14:paraId="1FF43C52" w14:textId="77777777" w:rsidR="00B70872" w:rsidRDefault="00B70872" w:rsidP="00B70872">
      <w:pPr>
        <w:pStyle w:val="corpo"/>
      </w:pPr>
      <w:r>
        <w:t>No Brasil, a importância do exame de DNA é de tal monta significativa, que a Lei nº 12.004/2009, acrescentou à Lei nº 8.560/1992, que regula a investigação de paternidade dos filhos havidos fora do casamento, o artigo 2º-A. Tal dispositivo determina que havendo a recusa do réu em submeter-se ao exame de DNA, haverá presunção de paternidade, apreciada pelo julgador em conjunto com o contexto probatório.</w:t>
      </w:r>
    </w:p>
    <w:p w14:paraId="77BAE4D6" w14:textId="77777777" w:rsidR="00DA75E6" w:rsidRDefault="0013163A" w:rsidP="00DA75E6">
      <w:pPr>
        <w:pStyle w:val="corpo"/>
      </w:pPr>
      <w:r>
        <w:t>Em Portugal, referido exame é denominado de ADN (ácido desoxirribonucleico).</w:t>
      </w:r>
      <w:r w:rsidR="00CE634B">
        <w:t xml:space="preserve"> Existem muitos casos nos Tribunais Portugueses</w:t>
      </w:r>
      <w:r w:rsidR="00214F89">
        <w:rPr>
          <w:rStyle w:val="Refdenotaderodap"/>
        </w:rPr>
        <w:footnoteReference w:id="51"/>
      </w:r>
      <w:r w:rsidR="00CE634B">
        <w:t xml:space="preserve"> em que o reconhecimento de paternidade não convém ao pretenso pai, </w:t>
      </w:r>
      <w:r w:rsidR="006D7177">
        <w:t xml:space="preserve">negando-se este a se submeter ao exame de ADN, </w:t>
      </w:r>
      <w:r w:rsidR="00CE634B">
        <w:t>causando uma barreira na descoberta da verdade real</w:t>
      </w:r>
      <w:r w:rsidR="00385EB7">
        <w:t xml:space="preserve">. </w:t>
      </w:r>
      <w:r w:rsidR="00CE634B">
        <w:t>No entanto, nem sempre a recusa na realização do exame de ADN significa uma forma de retardar ou impedir o estabelecimento da filiação, uma vez que podem ocorrer recusas legítimas na investigação de paternidade.</w:t>
      </w:r>
      <w:r w:rsidR="00AB3F50">
        <w:t xml:space="preserve"> </w:t>
      </w:r>
    </w:p>
    <w:p w14:paraId="57E9D7C8" w14:textId="77777777" w:rsidR="00CE634B" w:rsidRDefault="00AB3F50" w:rsidP="00DA75E6">
      <w:pPr>
        <w:pStyle w:val="corpo"/>
      </w:pPr>
      <w:r>
        <w:t>De outra forma, quando se verificam situações</w:t>
      </w:r>
      <w:r w:rsidR="0012372C">
        <w:t xml:space="preserve"> de recusas ilegítimas</w:t>
      </w:r>
      <w:r w:rsidR="003201E8">
        <w:t xml:space="preserve"> na realização do exame de prova biológica da procriação, implica ao réu o ônus de demonstrar que determinada filiação não é sua. Ocorre, então, nesses casos a inversão do ônus da prova, nos termos do artigo 34</w:t>
      </w:r>
      <w:r w:rsidR="00DA75E6">
        <w:t>4</w:t>
      </w:r>
      <w:r w:rsidR="003201E8">
        <w:t>°, n° 2, do CC.</w:t>
      </w:r>
      <w:r w:rsidR="00DA75E6">
        <w:t xml:space="preserve"> Coaduna com esse entendimento a jurisprudência portuguesa, em que</w:t>
      </w:r>
      <w:r w:rsidR="00B41776">
        <w:t>,</w:t>
      </w:r>
      <w:r w:rsidR="00DA75E6">
        <w:t xml:space="preserve"> baseada no dever de cooperação das partes, entende que no caso de uma recusa injustificada do pretenso pai em realizar o exame de ADN poderá ser declarada a inversão do ônus da prova ao réu, a fim de que este prove que não há vínculo </w:t>
      </w:r>
      <w:r w:rsidR="00E20DDE">
        <w:t>genético</w:t>
      </w:r>
      <w:r w:rsidR="00DA75E6">
        <w:t xml:space="preserve"> entre ele e o autor da ação</w:t>
      </w:r>
      <w:r w:rsidR="002F403D">
        <w:rPr>
          <w:rStyle w:val="Refdenotaderodap"/>
        </w:rPr>
        <w:footnoteReference w:id="52"/>
      </w:r>
      <w:r w:rsidR="00DA75E6">
        <w:t xml:space="preserve">. </w:t>
      </w:r>
      <w:r w:rsidR="003201E8">
        <w:t xml:space="preserve">    </w:t>
      </w:r>
      <w:r w:rsidR="0012372C">
        <w:t xml:space="preserve"> </w:t>
      </w:r>
      <w:r>
        <w:t xml:space="preserve"> </w:t>
      </w:r>
    </w:p>
    <w:p w14:paraId="4107FF2E" w14:textId="58355D5E" w:rsidR="00DA75E6" w:rsidRDefault="00AF123F" w:rsidP="00CB4826">
      <w:pPr>
        <w:pStyle w:val="corpo"/>
      </w:pPr>
      <w:r>
        <w:t>Nesses casos, o legislador teve o intuito de punir o réu em razão de sua conduta não cooperativa dentro do processo, já que sua recusa traria prejuízos</w:t>
      </w:r>
      <w:r w:rsidR="005741BD">
        <w:t xml:space="preserve"> </w:t>
      </w:r>
      <w:r>
        <w:t>ao</w:t>
      </w:r>
      <w:r w:rsidR="005741BD">
        <w:t xml:space="preserve"> interesse do autor</w:t>
      </w:r>
      <w:r>
        <w:t>, bem como impossibilitaria a produção de provas</w:t>
      </w:r>
      <w:r w:rsidR="00204291">
        <w:t xml:space="preserve"> para </w:t>
      </w:r>
      <w:r>
        <w:t xml:space="preserve">a </w:t>
      </w:r>
      <w:r w:rsidR="003E52AA">
        <w:t xml:space="preserve">comprovação </w:t>
      </w:r>
      <w:r>
        <w:t>dos fatos alegados.</w:t>
      </w:r>
    </w:p>
    <w:p w14:paraId="124BCDAC" w14:textId="011DEFE4" w:rsidR="00967BB6" w:rsidRDefault="00967BB6" w:rsidP="00CB4826">
      <w:pPr>
        <w:pStyle w:val="corpo"/>
      </w:pPr>
    </w:p>
    <w:p w14:paraId="7488BE57" w14:textId="77777777" w:rsidR="00967BB6" w:rsidRDefault="00967BB6" w:rsidP="00CB4826">
      <w:pPr>
        <w:pStyle w:val="corpo"/>
      </w:pPr>
    </w:p>
    <w:p w14:paraId="6AD55449" w14:textId="77777777" w:rsidR="00B70872" w:rsidRDefault="00B70872" w:rsidP="00367433"/>
    <w:p w14:paraId="150F66CA" w14:textId="77777777" w:rsidR="00367433" w:rsidRDefault="00367433" w:rsidP="00367433">
      <w:pPr>
        <w:pStyle w:val="Ttulo3"/>
        <w:rPr>
          <w:b/>
          <w:bCs/>
        </w:rPr>
      </w:pPr>
      <w:bookmarkStart w:id="31" w:name="_Toc28034652"/>
      <w:r w:rsidRPr="00260A16">
        <w:rPr>
          <w:b/>
          <w:bCs/>
        </w:rPr>
        <w:t xml:space="preserve">Filiação </w:t>
      </w:r>
      <w:r>
        <w:rPr>
          <w:b/>
          <w:bCs/>
        </w:rPr>
        <w:t>Socioafetiva</w:t>
      </w:r>
      <w:bookmarkEnd w:id="31"/>
    </w:p>
    <w:p w14:paraId="0AE70703" w14:textId="77777777" w:rsidR="006654E5" w:rsidRDefault="006654E5" w:rsidP="006654E5"/>
    <w:p w14:paraId="5C04B755" w14:textId="2A80540B" w:rsidR="006654E5" w:rsidRDefault="006654E5" w:rsidP="006654E5">
      <w:pPr>
        <w:pStyle w:val="corpo"/>
      </w:pPr>
      <w:r>
        <w:t xml:space="preserve">Filiação </w:t>
      </w:r>
      <w:r w:rsidR="00FD7BFA">
        <w:t xml:space="preserve">socioafetiva </w:t>
      </w:r>
      <w:r>
        <w:t>é a relação de parentesco que liga o filho a seus pais, é a realidade fática, que antecede a realidade jurídica, que pode coincidir com a realidade biológica, ou não. Os filhos detêm, então, o estado de filiação e o pai e a mãe, respectivamente, os estados de paternidade e maternidade</w:t>
      </w:r>
      <w:r w:rsidR="00760F7A">
        <w:rPr>
          <w:rStyle w:val="Refdenotaderodap"/>
        </w:rPr>
        <w:footnoteReference w:id="53"/>
      </w:r>
      <w:r>
        <w:t>.</w:t>
      </w:r>
    </w:p>
    <w:p w14:paraId="3BFA2F64" w14:textId="0A0C8AE1" w:rsidR="006654E5" w:rsidRDefault="006654E5" w:rsidP="006654E5">
      <w:pPr>
        <w:pStyle w:val="corpo"/>
      </w:pPr>
      <w:r>
        <w:t xml:space="preserve">A notoriedade da verdade afetiva diante da realidade biológica confirma a necessidade de ampliação no conceito de filiação. A família moderna </w:t>
      </w:r>
      <w:r w:rsidR="00224D78">
        <w:t>cresce com base</w:t>
      </w:r>
      <w:r>
        <w:t xml:space="preserve"> no afeto. </w:t>
      </w:r>
      <w:r w:rsidR="00A86E47">
        <w:t>P</w:t>
      </w:r>
      <w:r>
        <w:t xml:space="preserve">ai e mãe são mais </w:t>
      </w:r>
      <w:proofErr w:type="gramStart"/>
      <w:r>
        <w:t>aqueles</w:t>
      </w:r>
      <w:proofErr w:type="gramEnd"/>
      <w:r>
        <w:t xml:space="preserve"> que assumem esses papéis e ocupam sua posição na </w:t>
      </w:r>
      <w:r w:rsidR="00A86E47">
        <w:t>família</w:t>
      </w:r>
      <w:r>
        <w:t xml:space="preserve">, do que aqueles </w:t>
      </w:r>
      <w:r w:rsidR="00A86E47">
        <w:t>que detêm o vínculo</w:t>
      </w:r>
      <w:r>
        <w:t xml:space="preserve"> gen</w:t>
      </w:r>
      <w:r w:rsidR="00A86E47">
        <w:t>ético</w:t>
      </w:r>
      <w:r>
        <w:t xml:space="preserve"> </w:t>
      </w:r>
      <w:r w:rsidR="000B13A2">
        <w:t xml:space="preserve">mas </w:t>
      </w:r>
      <w:r>
        <w:t>que, por vezes</w:t>
      </w:r>
      <w:r w:rsidR="000B13A2">
        <w:t>,</w:t>
      </w:r>
      <w:r>
        <w:t xml:space="preserve"> </w:t>
      </w:r>
      <w:r w:rsidR="00A86E47">
        <w:t xml:space="preserve">não </w:t>
      </w:r>
      <w:r>
        <w:t xml:space="preserve">estabelecem </w:t>
      </w:r>
      <w:r w:rsidR="00A86E47">
        <w:t>nenhuma</w:t>
      </w:r>
      <w:r>
        <w:t xml:space="preserve"> aproximação afetiva com </w:t>
      </w:r>
      <w:r w:rsidR="00A86E47">
        <w:t>os filhos</w:t>
      </w:r>
      <w:r>
        <w:t>. Nas palavras de Rolf Madaleno:</w:t>
      </w:r>
    </w:p>
    <w:p w14:paraId="07F8DE4E" w14:textId="77777777" w:rsidR="006654E5" w:rsidRDefault="006654E5" w:rsidP="006654E5">
      <w:pPr>
        <w:rPr>
          <w:rFonts w:cs="Times New Roman"/>
        </w:rPr>
      </w:pPr>
    </w:p>
    <w:p w14:paraId="71751B0B" w14:textId="1AC2A78A" w:rsidR="006654E5" w:rsidRPr="004E7BCF" w:rsidRDefault="006654E5" w:rsidP="006654E5">
      <w:pPr>
        <w:pStyle w:val="SemEspaamento"/>
      </w:pPr>
      <w:r w:rsidRPr="004E7BCF">
        <w:t>O real valor da filiação está na verdade afetiva e jamais sustentada na ascendência genética, porque esta, quando desligada do afeto e da convivência, nada mais representa do que um efeito da natureza, quase sempre fruto de um indesejado acaso, obra do descuido e da pronta rejeição. Não podem ser considerados genitores pessoas que nunca quiseram exercer as funções de pais ou de mãe, e sob todos os modos e ações se desvinculam dos efeitos sociais, pessoais e materiais da relação natural da filiação</w:t>
      </w:r>
      <w:r>
        <w:t>.</w:t>
      </w:r>
      <w:r w:rsidRPr="004E7BCF">
        <w:rPr>
          <w:rStyle w:val="Refdenotaderodap"/>
        </w:rPr>
        <w:footnoteReference w:id="54"/>
      </w:r>
    </w:p>
    <w:p w14:paraId="349B647E" w14:textId="77777777" w:rsidR="006654E5" w:rsidRDefault="006654E5" w:rsidP="006654E5">
      <w:pPr>
        <w:rPr>
          <w:rFonts w:cs="Times New Roman"/>
        </w:rPr>
      </w:pPr>
    </w:p>
    <w:p w14:paraId="486AF40A" w14:textId="50E78EB1" w:rsidR="006654E5" w:rsidRDefault="006654E5" w:rsidP="006654E5">
      <w:pPr>
        <w:pStyle w:val="corpo"/>
      </w:pPr>
      <w:r>
        <w:t>Inegável é que o afeto permeia a maioria dos institutos do Direito de Família e, a Constituição Federal Brasileira eleva o valor jurídico do afeto a princípio constitucional. A filiação socioafetiva consagra-se no somatório dos princípios que fundamentam a família como um espaço de amor. Para Rolf Madaleno</w:t>
      </w:r>
      <w:r w:rsidR="00FD5A8C">
        <w:t>,</w:t>
      </w:r>
      <w:r>
        <w:t xml:space="preserve"> os filhos são conquistados pelo coração, em que é a consequência de uma relação de afeto construída a cada dia, em ambientes em que há a demonstração de amor àquela pessoa gerada por outros com orige</w:t>
      </w:r>
      <w:r w:rsidR="00FD5A8C">
        <w:t>ns</w:t>
      </w:r>
      <w:r>
        <w:t xml:space="preserve"> genéticas distintas, pois importa ter vindo ao mundo para ser acolhido como filho de adoção por afeição</w:t>
      </w:r>
      <w:r>
        <w:rPr>
          <w:rStyle w:val="Refdenotaderodap"/>
        </w:rPr>
        <w:footnoteReference w:id="55"/>
      </w:r>
      <w:r>
        <w:t>.</w:t>
      </w:r>
    </w:p>
    <w:p w14:paraId="4A20FB4C" w14:textId="77777777" w:rsidR="006654E5" w:rsidRDefault="006654E5" w:rsidP="006654E5">
      <w:pPr>
        <w:pStyle w:val="corpo"/>
      </w:pPr>
      <w:r>
        <w:t>Anote-se que a filiação construída a partir do afeto é protegida constitucionalmente, sustentada nos princípios da igualdade, da dignidade da pessoa humana, na supremacia dos interesses dos filhos e consagra-se na proibição de discriminação entre a filiação, seja a biológica ou socioafetiva. O artigo 227, parágrafo 6º da Constituição Brasileira não discrimina nenhuma forma de filiação, inclusive, e principalmente, a que se constrói a partir do afeto. Esse olhar sobre o afeto consolidando as relações familiares e, elevando à categoria de valor jurídico, é uma das maiores evoluções do Direito de Família brasileiro. É de simples valor jurídico, ganha status de princípio jurídico, associado ao princípio da dignidade humana, imprime toda a força normativa inerente aos “princípios” como fonte do Direito, contamina as decisões e as doutrinas jurídicas e funciona como o sustentáculo desse ramo do Direito</w:t>
      </w:r>
      <w:r>
        <w:rPr>
          <w:rStyle w:val="Refdenotaderodap"/>
          <w:szCs w:val="24"/>
        </w:rPr>
        <w:footnoteReference w:id="56"/>
      </w:r>
      <w:r>
        <w:t>.</w:t>
      </w:r>
    </w:p>
    <w:p w14:paraId="6E558060" w14:textId="77777777" w:rsidR="00641DB4" w:rsidRDefault="00641DB4" w:rsidP="006654E5">
      <w:pPr>
        <w:pStyle w:val="corpo"/>
      </w:pPr>
      <w:r>
        <w:t>No Brasil, o princípio da afetividade gera comportamentos diferen</w:t>
      </w:r>
      <w:r w:rsidR="00F85F8F">
        <w:t>ciados</w:t>
      </w:r>
      <w:r>
        <w:t xml:space="preserve"> da doutrina e da jurisprudência</w:t>
      </w:r>
      <w:r w:rsidR="00154DE2">
        <w:t xml:space="preserve"> nos casos concretos</w:t>
      </w:r>
      <w:r w:rsidR="00253561">
        <w:t xml:space="preserve">, quando comparado ao </w:t>
      </w:r>
      <w:r>
        <w:t xml:space="preserve">que ocorria há anos atrás. Já em Portugal, esses efeitos são menores. Há um entendimento variado do que consiste o Princípio da Afetividade, no entanto, é pacífica a compreensão de que o reconhecimento da afetividade é necessário às famílias contemporâneas.   </w:t>
      </w:r>
    </w:p>
    <w:p w14:paraId="612AE70C" w14:textId="2CCECFF5" w:rsidR="004C5ACA" w:rsidRDefault="00597273" w:rsidP="00B6419D">
      <w:pPr>
        <w:pStyle w:val="corpo"/>
        <w:tabs>
          <w:tab w:val="clear" w:pos="4252"/>
          <w:tab w:val="clear" w:pos="8504"/>
        </w:tabs>
      </w:pPr>
      <w:r>
        <w:t>A diferença existente no Brasil e em Portugal</w:t>
      </w:r>
      <w:r w:rsidR="003D30C3">
        <w:t>, quanto</w:t>
      </w:r>
      <w:r w:rsidR="00CC0492">
        <w:t xml:space="preserve"> a</w:t>
      </w:r>
      <w:r w:rsidR="00FF0C7E">
        <w:t>o modo</w:t>
      </w:r>
      <w:r w:rsidR="003D30C3">
        <w:t xml:space="preserve"> como a filiação socioafetiva é vista,</w:t>
      </w:r>
      <w:r>
        <w:t xml:space="preserve"> provém da forma como a lei conceituou a filiação nos seus Códigos Civis, respectivamente.</w:t>
      </w:r>
      <w:r w:rsidR="00FF0C7E">
        <w:t xml:space="preserve"> Enquanto a lei portuguesa divide as modalidades de filiação em três, biológica, adotiva e por consentimento não adotivo, no Brasil, o artigo 1.593, CC, estabeleceu as formas de parentesco</w:t>
      </w:r>
      <w:r w:rsidR="00D36CF4">
        <w:t xml:space="preserve"> advindas d</w:t>
      </w:r>
      <w:r w:rsidR="00FF0C7E">
        <w:t>a filiação por consanguinidade, ou outra origem.</w:t>
      </w:r>
      <w:r w:rsidR="004C5ACA">
        <w:t xml:space="preserve"> </w:t>
      </w:r>
      <w:r w:rsidR="00FD5A8C">
        <w:t>A</w:t>
      </w:r>
      <w:r w:rsidR="004C5ACA">
        <w:t xml:space="preserve"> legislação brasileira possibilita a existência de um maior número de modalidades de filiação, em razão de ter trazido ao instituto um conceito aberto. Assim, </w:t>
      </w:r>
      <w:r w:rsidR="0070372C">
        <w:t>no Brasil</w:t>
      </w:r>
      <w:r w:rsidR="004C5ACA">
        <w:t xml:space="preserve">, a socioafetividade tem </w:t>
      </w:r>
      <w:r w:rsidR="008E6CD6">
        <w:t xml:space="preserve">maiores </w:t>
      </w:r>
      <w:r w:rsidR="004C5ACA">
        <w:t>consequências</w:t>
      </w:r>
      <w:r w:rsidR="008E6CD6">
        <w:t xml:space="preserve"> que em Portugal</w:t>
      </w:r>
      <w:r w:rsidR="00856588">
        <w:t>,</w:t>
      </w:r>
      <w:r w:rsidR="008E6CD6">
        <w:t xml:space="preserve"> uma vez que a afetividade é fator preponderante para o reconhecimento da união estável como entidade familiar, diferentemente do que ocorre com a união de facto portuguesa</w:t>
      </w:r>
      <w:r w:rsidR="00152DF7">
        <w:rPr>
          <w:rStyle w:val="Refdenotaderodap"/>
        </w:rPr>
        <w:footnoteReference w:id="57"/>
      </w:r>
      <w:r w:rsidR="00152DF7">
        <w:t>.</w:t>
      </w:r>
      <w:r w:rsidR="008E6CD6">
        <w:t xml:space="preserve"> </w:t>
      </w:r>
      <w:r w:rsidR="004C5ACA">
        <w:t xml:space="preserve"> </w:t>
      </w:r>
    </w:p>
    <w:p w14:paraId="45EEA115" w14:textId="77777777" w:rsidR="008A71F9" w:rsidRDefault="008A71F9" w:rsidP="006654E5">
      <w:pPr>
        <w:pStyle w:val="corpo"/>
      </w:pPr>
      <w:r>
        <w:t>A convivência familiar gera o exercício do afeto, em todos os tipos de relações. E, em razão disso, é o princípio da afetividade que dá respaldo às novas instituições familiares. Assim, mesm</w:t>
      </w:r>
      <w:r w:rsidR="00CA3597">
        <w:t>o</w:t>
      </w:r>
      <w:r>
        <w:t xml:space="preserve"> não estando de forma expressa nas Constituições brasileira e portuguesa, o preceito aparece de forma implícita através do conceito amplo de dignidade humana. </w:t>
      </w:r>
    </w:p>
    <w:p w14:paraId="6EA687C8" w14:textId="77777777" w:rsidR="00AD099C" w:rsidRDefault="00AD099C" w:rsidP="006654E5">
      <w:pPr>
        <w:pStyle w:val="corpo"/>
      </w:pPr>
      <w:r>
        <w:t>Em Portugal</w:t>
      </w:r>
      <w:r w:rsidR="0040114F">
        <w:t>,</w:t>
      </w:r>
      <w:r>
        <w:t xml:space="preserve"> o laço de sangue ou biológico é o que prepondera para estabelecer as relações de parentesco. É como se este vínculo fosse hierarquicamente preferível ao laço</w:t>
      </w:r>
      <w:r w:rsidR="007E4396">
        <w:t xml:space="preserve"> </w:t>
      </w:r>
      <w:r>
        <w:t>socioafetivo.</w:t>
      </w:r>
      <w:r w:rsidR="005B1004">
        <w:t xml:space="preserve"> No entanto, quanto às responsabilidades</w:t>
      </w:r>
      <w:r w:rsidR="007E4396">
        <w:t xml:space="preserve"> dos pais em relação aos filhos</w:t>
      </w:r>
      <w:r w:rsidR="005B1004">
        <w:t xml:space="preserve">, no que tange aos deveres e direitos, </w:t>
      </w:r>
      <w:r w:rsidR="007E4396">
        <w:t xml:space="preserve">isso </w:t>
      </w:r>
      <w:r w:rsidR="005B1004">
        <w:t>independe do laço que os une</w:t>
      </w:r>
      <w:r w:rsidR="007E4396">
        <w:t>,</w:t>
      </w:r>
      <w:r w:rsidR="005B1004">
        <w:t xml:space="preserve"> seja biológico ou socioafetivo.</w:t>
      </w:r>
      <w:r w:rsidR="00946453">
        <w:t xml:space="preserve"> Ou seja, as responsabilidades dos pais, biológicos ou socioafetivos, quanto aos menores é a mesma.</w:t>
      </w:r>
      <w:r w:rsidR="0040114F">
        <w:t xml:space="preserve"> Compreende-se que a paternidade é o gênero, em que a filiação biológica e socioafetiva são espécies.</w:t>
      </w:r>
      <w:r w:rsidR="005B1004">
        <w:t xml:space="preserve">  </w:t>
      </w:r>
    </w:p>
    <w:p w14:paraId="05B3E5BE" w14:textId="59F67AFE" w:rsidR="006654E5" w:rsidRDefault="006654E5" w:rsidP="006654E5">
      <w:pPr>
        <w:pStyle w:val="corpo"/>
      </w:pPr>
      <w:r>
        <w:t xml:space="preserve">As modificações </w:t>
      </w:r>
      <w:r w:rsidR="00FD5A8C">
        <w:t xml:space="preserve">em </w:t>
      </w:r>
      <w:r>
        <w:t xml:space="preserve">que </w:t>
      </w:r>
      <w:proofErr w:type="gramStart"/>
      <w:r>
        <w:t>a sociedade vêm</w:t>
      </w:r>
      <w:proofErr w:type="gramEnd"/>
      <w:r>
        <w:t xml:space="preserve"> sofrendo nos últimos tempos refletem-se no núcleo familiar. </w:t>
      </w:r>
      <w:r w:rsidR="00DD0F72">
        <w:t>As famílias</w:t>
      </w:r>
      <w:r>
        <w:t xml:space="preserve"> formam-se agregando pessoas de relações anteriores, criando vínculos afetivos, que obrigam o Direito de Família a se deparar com essas realidades. A sociedade cobra respostas e os códigos se omitem, fazendo com que o Poder Judiciário, quando solicitado a resolvê-las, não se contente apenas com o enfoque jurídico, mas também com o fator psicológico</w:t>
      </w:r>
      <w:r w:rsidR="00172F28">
        <w:t>,</w:t>
      </w:r>
      <w:r>
        <w:t xml:space="preserve"> para regular essas demandas sociais ou, no caso em tela, observe o vínculo afetivo, imprescindível para a caracterização da filiação na atualidade</w:t>
      </w:r>
      <w:r>
        <w:rPr>
          <w:rStyle w:val="Refdenotaderodap"/>
          <w:szCs w:val="24"/>
        </w:rPr>
        <w:footnoteReference w:id="58"/>
      </w:r>
      <w:r>
        <w:t>.</w:t>
      </w:r>
    </w:p>
    <w:p w14:paraId="618154A8" w14:textId="77777777" w:rsidR="006654E5" w:rsidRDefault="006654E5" w:rsidP="006654E5">
      <w:pPr>
        <w:pStyle w:val="corpo"/>
      </w:pPr>
      <w:r>
        <w:t>Segundo Heloisa Helena Barboza, os laços afetivos geram repercussões no âmbito social, produzindo como resultado, direitos e obrigações pertinentes. A convivência afetiva é de fato reconhecida a partir do momento que extrapola o espaço privado, para alcançar o espaço público, fazendo com que os envolvidos assumam funções sociais que buscam o reconhecimento jurídico e seus efeitos, mesmo que findo o afeto que os gerou</w:t>
      </w:r>
      <w:r>
        <w:rPr>
          <w:rStyle w:val="Refdenotaderodap"/>
          <w:szCs w:val="24"/>
        </w:rPr>
        <w:footnoteReference w:id="59"/>
      </w:r>
      <w:r>
        <w:t xml:space="preserve">. </w:t>
      </w:r>
    </w:p>
    <w:p w14:paraId="3999986F" w14:textId="77777777" w:rsidR="006654E5" w:rsidRDefault="006654E5" w:rsidP="006654E5">
      <w:pPr>
        <w:pStyle w:val="corpo"/>
      </w:pPr>
      <w:r>
        <w:t>Heloisa Helena Barboza acrescenta que a verdadeira família não é apenas um instituto jurídico, mas antes de tudo uma comunhão de afetos, sendo que este é um sentimento que se traduz em fatos para o direito. Fatos estes que se verificam na convivência social, gerando a afetividade. Da mesma forma, o parentesco pode ser gerado apenas pela socioafetividade, que é um fato</w:t>
      </w:r>
      <w:r>
        <w:rPr>
          <w:rStyle w:val="Refdenotaderodap"/>
          <w:szCs w:val="24"/>
        </w:rPr>
        <w:footnoteReference w:id="60"/>
      </w:r>
      <w:r>
        <w:t>.</w:t>
      </w:r>
    </w:p>
    <w:p w14:paraId="5479A746" w14:textId="5FD94567" w:rsidR="006654E5" w:rsidRDefault="006654E5" w:rsidP="006654E5">
      <w:pPr>
        <w:pStyle w:val="corpo"/>
      </w:pPr>
      <w:r>
        <w:t>Cumpre ressaltar que</w:t>
      </w:r>
      <w:r w:rsidR="00172F28">
        <w:t>,</w:t>
      </w:r>
      <w:r>
        <w:t xml:space="preserve"> à luz do artigo 227, parágrafo 6°, da Constituição Brasileira, o Código Civil de 2002, em alguns dispositivos, acolhe essas garantias constitucionais expressas, e tem-se como exemplo o artigo 1.596, que assim determina: “os filhos, havidos ou não da relação de casamento, ou por adoção, terão os mesmos direitos e qualificações, proibidas quaisquer designações discriminatórias relativas à filiação”.</w:t>
      </w:r>
    </w:p>
    <w:p w14:paraId="5A13172C" w14:textId="77777777" w:rsidR="006654E5" w:rsidRDefault="006654E5" w:rsidP="006654E5">
      <w:pPr>
        <w:pStyle w:val="corpo"/>
      </w:pPr>
      <w:r>
        <w:t>Observamos que não haverá vínculo biológico entre o filho e seus pais, mas haverá filiação jurídica, nos casos de adoção e reprodução heteróloga consentida. Trata-se da filiação socioafetiva, isto é, do estabelecimento de relação de parentesco em linha reta de primeiro grau, a partir do convívio social, em que o afeto se apresenta como seu elo; é a situação fática de sentimento de filho, e sentimento de pai ou mãe, que independe dos laços sanguíneos ou civis. E assim também é a lição de Jorge S. Fujita ao mencionar que a filiação socioafetiva é a consistente na relação entre pai e filho, ou entre mãe e filho, ou entre pais e filhos, em que inexiste liame de ordem sanguínea entre eles, mas que há, porém, o afeto como elemento aglutinador</w:t>
      </w:r>
      <w:r>
        <w:rPr>
          <w:rStyle w:val="Refdenotaderodap"/>
          <w:szCs w:val="24"/>
        </w:rPr>
        <w:footnoteReference w:id="61"/>
      </w:r>
      <w:r>
        <w:t>.</w:t>
      </w:r>
    </w:p>
    <w:p w14:paraId="296CDEA8" w14:textId="77777777" w:rsidR="006654E5" w:rsidRDefault="006654E5" w:rsidP="006654E5">
      <w:pPr>
        <w:pStyle w:val="corpo"/>
      </w:pPr>
      <w:r w:rsidRPr="00ED4CEB">
        <w:t>O</w:t>
      </w:r>
      <w:r>
        <w:t xml:space="preserve"> Enunciado nº 103</w:t>
      </w:r>
      <w:r>
        <w:rPr>
          <w:rStyle w:val="Refdenotaderodap"/>
          <w:szCs w:val="24"/>
        </w:rPr>
        <w:footnoteReference w:id="62"/>
      </w:r>
      <w:r>
        <w:t xml:space="preserve"> da I Jornada de Direito Civil do Conselho da Justiça Federal Brasileira veio fortalecer essa questão, reafirmando que o Código Civil, em seu artigo 1.593 reconhece no parentesco civil outros vínculos parentais, ora provenientes das técnicas de reprodução assistida heteróloga ou ainda da paternidade socioafetiva derivada da posse do estado de filho.</w:t>
      </w:r>
    </w:p>
    <w:p w14:paraId="50A6AD8B" w14:textId="77777777" w:rsidR="006654E5" w:rsidRDefault="006654E5" w:rsidP="006654E5">
      <w:pPr>
        <w:pStyle w:val="corpo"/>
      </w:pPr>
      <w:r>
        <w:t>Diante dos fatos, verifica-se que o artigo 1.593 do Código Civil brasileiro alcança inclusive a paternidade e maternidade socioafetivas, cujo elo não é oriundo de laços sanguíneos ou pela adoção, mas sim de reconhecimento social e afetivo resultantes da paternidade ou maternidade. Nessa mesma orientação, foi aprovado na III Jornada de Direito Civil o Enunciado n° 256</w:t>
      </w:r>
      <w:r>
        <w:rPr>
          <w:rStyle w:val="Refdenotaderodap"/>
          <w:szCs w:val="24"/>
        </w:rPr>
        <w:footnoteReference w:id="63"/>
      </w:r>
      <w:r>
        <w:t>: “A posse do estado de filho (parentalidade socioafetiva) constitui modalidade de parentesco civil”.</w:t>
      </w:r>
    </w:p>
    <w:p w14:paraId="255C9786" w14:textId="4D847316" w:rsidR="006654E5" w:rsidRDefault="00CA3597" w:rsidP="006654E5">
      <w:pPr>
        <w:pStyle w:val="corpo"/>
      </w:pPr>
      <w:r>
        <w:t>A</w:t>
      </w:r>
      <w:r w:rsidR="006654E5">
        <w:t>tualmente consagram-se “novos valores referentes ao vínculo de filiação, nos quais ganha contorno e conteúdo a ideia de que a paternidade e a maternidade não são apenas relações jurídicas, ou meramente biológicas, sendo fundamental a presença do afeto nas re</w:t>
      </w:r>
      <w:r w:rsidR="00172F28">
        <w:t>l</w:t>
      </w:r>
      <w:r w:rsidR="006654E5">
        <w:t>ações paterno-filiais</w:t>
      </w:r>
      <w:r w:rsidR="006654E5">
        <w:rPr>
          <w:rStyle w:val="Refdenotaderodap"/>
          <w:szCs w:val="24"/>
        </w:rPr>
        <w:footnoteReference w:id="64"/>
      </w:r>
      <w:r w:rsidR="006654E5">
        <w:t>”.</w:t>
      </w:r>
    </w:p>
    <w:p w14:paraId="6C2DA3FA" w14:textId="77777777" w:rsidR="00CA3597" w:rsidRDefault="00CA3597" w:rsidP="006654E5">
      <w:pPr>
        <w:pStyle w:val="corpo"/>
      </w:pPr>
      <w:r>
        <w:t>Assim, verificamos que apenas o Brasil reconhece judicialmente a vinculação socioafetiva paterno-filial.</w:t>
      </w:r>
    </w:p>
    <w:p w14:paraId="2DF8A5C8" w14:textId="77777777" w:rsidR="00367433" w:rsidRDefault="00367433" w:rsidP="00367433"/>
    <w:p w14:paraId="36FCBC27" w14:textId="77777777" w:rsidR="00367433" w:rsidRDefault="00367433" w:rsidP="00367433">
      <w:pPr>
        <w:pStyle w:val="Ttulo3"/>
        <w:rPr>
          <w:b/>
          <w:bCs/>
        </w:rPr>
      </w:pPr>
      <w:bookmarkStart w:id="32" w:name="_Toc28034653"/>
      <w:r w:rsidRPr="00260A16">
        <w:rPr>
          <w:b/>
          <w:bCs/>
        </w:rPr>
        <w:t xml:space="preserve">Filiação </w:t>
      </w:r>
      <w:r>
        <w:rPr>
          <w:b/>
          <w:bCs/>
        </w:rPr>
        <w:t>Socioafetiva advinda da Adoção à Brasileira</w:t>
      </w:r>
      <w:bookmarkEnd w:id="32"/>
    </w:p>
    <w:p w14:paraId="18CAFD7C" w14:textId="77777777" w:rsidR="007029B3" w:rsidRDefault="007029B3" w:rsidP="007029B3"/>
    <w:p w14:paraId="3E6B454E" w14:textId="77777777" w:rsidR="007029B3" w:rsidRDefault="007029B3" w:rsidP="007029B3">
      <w:pPr>
        <w:pStyle w:val="corpo"/>
      </w:pPr>
      <w:r w:rsidRPr="006A3998">
        <w:t>Cumpre primeiramente destacar que o termo adoção à brasileira</w:t>
      </w:r>
      <w:r>
        <w:t xml:space="preserve"> traz uma ideia pejorativa, já que está vinculado aos casos de registros de nascimentos fraudulentos, que não observam as exigências legais em prol do suposto pai ou mãe se beneficiar de um procedimento mais célere. Ademais, o ato de adoção à brasileira está enquadrado como o tipo penal conceituado como o ato de dar parto alheio como próprio ou registrar como seu o filho de outrem, nos termos do artigo 242, do Código Penal.   </w:t>
      </w:r>
    </w:p>
    <w:p w14:paraId="0DEF5AB7" w14:textId="35206E7B" w:rsidR="00BD15B6" w:rsidRDefault="007029B3" w:rsidP="007029B3">
      <w:pPr>
        <w:pStyle w:val="corpo"/>
      </w:pPr>
      <w:r>
        <w:t xml:space="preserve">A “adoção à brasileira” ou adoção simulada é o reconhecimento registral de alguém como filho por quem não é seu pai ou sua </w:t>
      </w:r>
      <w:proofErr w:type="gramStart"/>
      <w:r>
        <w:t>mãe biológico</w:t>
      </w:r>
      <w:proofErr w:type="gramEnd"/>
      <w:r>
        <w:t>. É um procedimento irregular, que por ter sido prática comum no Brasil anteriormente, foi alcunhado dessa forma pela jurisprudência</w:t>
      </w:r>
      <w:r w:rsidRPr="005D2D0B">
        <w:rPr>
          <w:rStyle w:val="Refdenotaderodap"/>
        </w:rPr>
        <w:footnoteReference w:id="65"/>
      </w:r>
      <w:r w:rsidR="00854C52">
        <w:t>.</w:t>
      </w:r>
      <w:r>
        <w:t xml:space="preserve"> </w:t>
      </w:r>
    </w:p>
    <w:p w14:paraId="344E9136" w14:textId="5F0D5047" w:rsidR="007029B3" w:rsidRDefault="007029B3" w:rsidP="007029B3">
      <w:pPr>
        <w:pStyle w:val="corpo"/>
      </w:pPr>
      <w:r>
        <w:t xml:space="preserve">A posição submissa e inferior que a mulher ocupava na sociedade desencadeava o ato da adoção à brasileira, </w:t>
      </w:r>
      <w:r w:rsidR="00BD15B6">
        <w:t>nos casos em que ela</w:t>
      </w:r>
      <w:r>
        <w:t xml:space="preserve"> engravida</w:t>
      </w:r>
      <w:r w:rsidR="00BD15B6">
        <w:t>va</w:t>
      </w:r>
      <w:r>
        <w:t xml:space="preserve"> de pai desconhecido e fora do casamento</w:t>
      </w:r>
      <w:r w:rsidR="00D74291">
        <w:t>, já que isso fa</w:t>
      </w:r>
      <w:r w:rsidR="002E309D">
        <w:t>zia</w:t>
      </w:r>
      <w:r w:rsidR="00D74291">
        <w:t xml:space="preserve"> com que ela fosse </w:t>
      </w:r>
      <w:r>
        <w:t xml:space="preserve">mal vista </w:t>
      </w:r>
      <w:r w:rsidR="00D74291">
        <w:t xml:space="preserve">pela </w:t>
      </w:r>
      <w:r>
        <w:t>sociedade. Sua moral e reputação ficavam extremamente abaladas, e muitas acabavam dispondo do seu filho a outro casal, que o registrava como se fossem pais biológicos da criança.</w:t>
      </w:r>
    </w:p>
    <w:p w14:paraId="45259038" w14:textId="46EC4B83" w:rsidR="007029B3" w:rsidRDefault="007029B3" w:rsidP="007029B3">
      <w:pPr>
        <w:pStyle w:val="corpo"/>
      </w:pPr>
      <w:r>
        <w:t>Em outra situação, a mulher normalmente c</w:t>
      </w:r>
      <w:r w:rsidR="00515E05">
        <w:t>asava-se</w:t>
      </w:r>
      <w:r>
        <w:t xml:space="preserve"> com um homem que se propunha a assumir essa criança como seu filho natural, registrando-a como pai.</w:t>
      </w:r>
    </w:p>
    <w:p w14:paraId="4D1A98BF" w14:textId="604E3CEA" w:rsidR="007029B3" w:rsidRDefault="007029B3" w:rsidP="007029B3">
      <w:pPr>
        <w:pStyle w:val="corpo"/>
      </w:pPr>
      <w:r>
        <w:t xml:space="preserve">A ministra Nancy </w:t>
      </w:r>
      <w:proofErr w:type="spellStart"/>
      <w:r>
        <w:t>Andrighi</w:t>
      </w:r>
      <w:proofErr w:type="spellEnd"/>
      <w:r>
        <w:t xml:space="preserve"> já conceituou a “adoção à brasileira” em muitos dos seus julgados como um tipo de adoção que está inserida no contexto de filiação socioafetiva, em que é caracterizada pelo reconhecimento voluntário da maternidade ou paternidade, e que o casal ou apenas um dos cônjuges, por não querer se submeter a todo o trâmite processual de uma adoção, resolve simplesmente registrar uma criança como sua, sem a preocupação com as imposições legais impostas pelo Estado</w:t>
      </w:r>
      <w:r w:rsidR="00515E05">
        <w:t>.</w:t>
      </w:r>
    </w:p>
    <w:p w14:paraId="1062C084" w14:textId="77777777" w:rsidR="007029B3" w:rsidRDefault="007029B3" w:rsidP="007029B3">
      <w:pPr>
        <w:pStyle w:val="corpo"/>
      </w:pPr>
      <w:r>
        <w:t>Normalmente, a adoção lícita é aquela regulamentada pela legislação. No Brasil, existe o Estatuto da Criança e Adolescente (Lei nº 8.069/1990) para as adoções envolvendo crianças e adolescentes, e o Código civil, em seu artigo 1.619, para adoções envolvendo maiores de idade, aplicando no que couberem as regras do Estatuto da Criança e do Adolescente.</w:t>
      </w:r>
    </w:p>
    <w:p w14:paraId="3780355C" w14:textId="77777777" w:rsidR="007029B3" w:rsidRDefault="007029B3" w:rsidP="007029B3">
      <w:pPr>
        <w:pStyle w:val="corpo"/>
      </w:pPr>
      <w:r>
        <w:t>O Código Civil brasileiro estabelece que a ninguém cabe reclamar estado contrário ao que resulta do registro</w:t>
      </w:r>
      <w:r>
        <w:rPr>
          <w:rStyle w:val="Refdenotaderodap"/>
          <w:szCs w:val="24"/>
        </w:rPr>
        <w:footnoteReference w:id="66"/>
      </w:r>
      <w:r>
        <w:t xml:space="preserve">. É incabível, portanto, a anulação do ato registral por parte de quem tenha promovido o reconhecimento voluntário de criança, ou adolescente, que sabia não ser seu filho. Nas palavras de Sergio </w:t>
      </w:r>
      <w:proofErr w:type="spellStart"/>
      <w:r>
        <w:t>Shiguemitsu</w:t>
      </w:r>
      <w:proofErr w:type="spellEnd"/>
      <w:r>
        <w:t xml:space="preserve"> Fujita, “essa conduta corresponde a uma adoção, e, portanto, irrevogável”</w:t>
      </w:r>
      <w:r>
        <w:rPr>
          <w:rStyle w:val="Refdenotaderodap"/>
          <w:szCs w:val="24"/>
        </w:rPr>
        <w:footnoteReference w:id="67"/>
      </w:r>
      <w:r>
        <w:t>.</w:t>
      </w:r>
    </w:p>
    <w:p w14:paraId="4C8BE71C" w14:textId="50C255FA" w:rsidR="007029B3" w:rsidRDefault="007029B3" w:rsidP="007029B3">
      <w:pPr>
        <w:pStyle w:val="corpo"/>
      </w:pPr>
      <w:r>
        <w:t xml:space="preserve">Assim, nesses casos, a ação negatória de paternidade </w:t>
      </w:r>
      <w:r w:rsidR="00C11854">
        <w:t xml:space="preserve">apenas </w:t>
      </w:r>
      <w:r>
        <w:t>se</w:t>
      </w:r>
      <w:r w:rsidR="00C11854">
        <w:t xml:space="preserve">rá </w:t>
      </w:r>
      <w:r>
        <w:t xml:space="preserve">deferida nos Tribunais, quando além da filiação biológica, a filiação socioafetiva também não </w:t>
      </w:r>
      <w:r w:rsidR="00C11854">
        <w:t>for</w:t>
      </w:r>
      <w:r>
        <w:t xml:space="preserve"> caracterizada. Isso porque</w:t>
      </w:r>
      <w:r w:rsidR="00C11854">
        <w:t>,</w:t>
      </w:r>
      <w:r>
        <w:t xml:space="preserve"> em muitos casos não há o vínculo sanguíneo entre pai e filho, mas já há o vínculo afetivo. </w:t>
      </w:r>
    </w:p>
    <w:p w14:paraId="2E2DEB19" w14:textId="77777777" w:rsidR="007029B3" w:rsidRDefault="007029B3" w:rsidP="007029B3">
      <w:pPr>
        <w:pStyle w:val="corpo"/>
      </w:pPr>
      <w:r>
        <w:t>No Brasil, o Superior Tribunal de Justiça tem julgado pela preponderância da paternidade socioafetiva, em ação negatória de paternidade em que se suscita a inexistência de vínculo biológico com o filho reconhecido voluntariamente. O Recurso Especial nº 1.333.360/SP</w:t>
      </w:r>
      <w:r>
        <w:rPr>
          <w:rStyle w:val="Refdenotaderodap"/>
          <w:szCs w:val="24"/>
        </w:rPr>
        <w:footnoteReference w:id="68"/>
      </w:r>
      <w:r>
        <w:t xml:space="preserve"> retrata bem essa questão, com julgamento unânime pelo seu provimento, e demonstra claramente que a adoção à brasileira, mesmo que fundada na piedade, quando se fizer fonte de vínculo socioafetivo entre pai/mãe de registro e o filho registrado, não consubstancia negócio jurídico sujeito a distrato por mera liberalidade devido ao término do relacionamento entre o pai e a mãe. </w:t>
      </w:r>
    </w:p>
    <w:p w14:paraId="32A0F453" w14:textId="4A692F43" w:rsidR="007029B3" w:rsidRDefault="007029B3" w:rsidP="007029B3">
      <w:pPr>
        <w:pStyle w:val="corpo"/>
      </w:pPr>
      <w:r>
        <w:t xml:space="preserve">O relator Ministro </w:t>
      </w:r>
      <w:proofErr w:type="spellStart"/>
      <w:r>
        <w:t>Luis</w:t>
      </w:r>
      <w:proofErr w:type="spellEnd"/>
      <w:r>
        <w:t xml:space="preserve"> Felipe Salomão fundamenta que</w:t>
      </w:r>
      <w:r w:rsidR="00C11854">
        <w:t>,</w:t>
      </w:r>
      <w:r>
        <w:t xml:space="preserve"> nos casos em que não se confirmar erro substancial quanto à pessoa do filho reconhecido, não provocando ao pai ou mãe falsa noção quanto a essa paternidade/maternidade não é possível alterar a situação registral, ainda que a prova da filiação biológica se apresente negativa. No caso em análise, o assentimento do falecido que sempre tratou o filho da sua esposa como se fosse seu, inclusive confessando que o registrou em um ato de extrema bondade, caracteriza a adoção à brasileira.</w:t>
      </w:r>
    </w:p>
    <w:p w14:paraId="63C9F09D" w14:textId="77777777" w:rsidR="007029B3" w:rsidRDefault="007029B3" w:rsidP="007029B3">
      <w:pPr>
        <w:pStyle w:val="corpo"/>
      </w:pPr>
      <w:r>
        <w:t>E mesmo que ele tenha se arrependido posteriormente e manifestado o desejo para anular o testamento juntamente com o registro de nascimento desse filho, não cabe, segundo o entendimento doutrinário e jurisprudencial consubstanciados nos princípios constitucionais e legais, conceder êxito em ação negatória de paternidade, visto que o vínculo socioafetivo indiscutivelmente concretizado nessa relação prevalece ao tal arrependimento.</w:t>
      </w:r>
    </w:p>
    <w:p w14:paraId="5520966B" w14:textId="77777777" w:rsidR="007029B3" w:rsidRDefault="007029B3" w:rsidP="007029B3">
      <w:pPr>
        <w:pStyle w:val="corpo"/>
      </w:pPr>
      <w:r>
        <w:t>Ademais, outro fundamento que afasta a ação negatória ou anulatória nas hipóteses em que não houve vícios do consentimento, mas arrependimento do reconhecimento é a seguinte:</w:t>
      </w:r>
    </w:p>
    <w:p w14:paraId="5E37697A" w14:textId="77777777" w:rsidR="007029B3" w:rsidRDefault="007029B3" w:rsidP="007029B3">
      <w:pPr>
        <w:rPr>
          <w:rFonts w:cs="Times New Roman"/>
        </w:rPr>
      </w:pPr>
    </w:p>
    <w:p w14:paraId="0ED648A9" w14:textId="5E1F87E1" w:rsidR="007029B3" w:rsidRDefault="007029B3" w:rsidP="007029B3">
      <w:pPr>
        <w:pStyle w:val="SemEspaamento"/>
      </w:pPr>
      <w:r>
        <w:t>Uma pessoa reconhece o filho e depois de um determinado período volta atrás, dizendo que realizou o ato por princípios de humanidade, ou por ter-se unido à mãe do mesmo. Cabe, num lance inicial, lembrar que ninguém pode invocar a própria torpeza, ou beneficiar-se de uma ilegalidade praticada conscientemente. Seria absurdo admitir que o autor da falsidade, fazendo-se passar por pai, viesse depois desconstituir a própria afirmação consubstanciada em documento público</w:t>
      </w:r>
      <w:r>
        <w:rPr>
          <w:rStyle w:val="Refdenotaderodap"/>
        </w:rPr>
        <w:footnoteReference w:id="69"/>
      </w:r>
      <w:r>
        <w:t>.</w:t>
      </w:r>
    </w:p>
    <w:p w14:paraId="4DAE3EFB" w14:textId="77777777" w:rsidR="007029B3" w:rsidRDefault="007029B3" w:rsidP="007029B3">
      <w:pPr>
        <w:rPr>
          <w:rFonts w:cs="Times New Roman"/>
        </w:rPr>
      </w:pPr>
    </w:p>
    <w:p w14:paraId="30B2F6E1" w14:textId="77777777" w:rsidR="007029B3" w:rsidRDefault="007029B3" w:rsidP="007029B3">
      <w:pPr>
        <w:pStyle w:val="corpo"/>
      </w:pPr>
      <w:r>
        <w:t>Por outro lado, é possível que o filho adotado venha a postular a nulidade do registro contra o pai adotante e o reconhecimento da paternidade biológica, em face do seu pai consanguíneo. Nessa hipótese, admissível restabelecimento da paternidade genética, uma vez que a “adoção à brasileira”, diferentemente da adoção legal, não tem o condão de romper os vínculos civis entre o filho e os pais biológicos.</w:t>
      </w:r>
    </w:p>
    <w:p w14:paraId="5CB5EB74" w14:textId="174C9274" w:rsidR="007029B3" w:rsidRDefault="007029B3" w:rsidP="007029B3">
      <w:pPr>
        <w:pStyle w:val="corpo"/>
      </w:pPr>
      <w:r>
        <w:t xml:space="preserve">Dentro desse contexto, importante fazer menção à inovação jurisprudencial denominada multiparentalidade. </w:t>
      </w:r>
      <w:r w:rsidR="00C11854">
        <w:t>E</w:t>
      </w:r>
      <w:r>
        <w:t>m decisão proferida no Estado de Rondônia</w:t>
      </w:r>
      <w:r>
        <w:rPr>
          <w:rStyle w:val="Refdenotaderodap"/>
          <w:szCs w:val="24"/>
        </w:rPr>
        <w:footnoteReference w:id="70"/>
      </w:r>
      <w:r>
        <w:t xml:space="preserve"> </w:t>
      </w:r>
      <w:r w:rsidR="00C11854">
        <w:t>foi autorizado</w:t>
      </w:r>
      <w:r>
        <w:t xml:space="preserve"> o duplo registro, em nome do pai biológico e do pai socioafetivo. Nesse caso, a mãe, que havia se separado do pai da criança quando ainda estava grávida e, em seguida, se envolvido em relacionamento com homem que procedeu ao registro da criança, reconhecendo-a como filha, moveu ação de investigação de paternidade cumulada com anulatória de registro civil, em desfavor de ambos, argumentando falsidade na declaração de paternidade de um e certeza biológica da paternidade de outro.</w:t>
      </w:r>
    </w:p>
    <w:p w14:paraId="4A16B98D" w14:textId="77777777" w:rsidR="007029B3" w:rsidRDefault="007029B3" w:rsidP="007029B3">
      <w:pPr>
        <w:pStyle w:val="corpo"/>
      </w:pPr>
      <w:r>
        <w:t xml:space="preserve">O exame de </w:t>
      </w:r>
      <w:r w:rsidR="000A233E">
        <w:t>carga genética (</w:t>
      </w:r>
      <w:r>
        <w:t>DNA</w:t>
      </w:r>
      <w:r w:rsidR="000A233E">
        <w:t>)</w:t>
      </w:r>
      <w:r>
        <w:t xml:space="preserve"> indicou certeza quanto ao vínculo biológico, enquanto o estudo social e psicológico demonstrou não ter havido erro, dolo ou coação</w:t>
      </w:r>
      <w:r w:rsidR="000A233E">
        <w:t>,</w:t>
      </w:r>
      <w:r>
        <w:t xml:space="preserve"> quando do reconhecimento da criança pelo pai registral. Por ser indiscutível a relação de afeto estabelecida, bem como o prejuízo que eventual declaração de inexistência do vínculo parental acarretaria à filha e ao pai registral, impossível o afastamento da filiação socioafetiva.</w:t>
      </w:r>
    </w:p>
    <w:p w14:paraId="64D92C17" w14:textId="77777777" w:rsidR="007029B3" w:rsidRDefault="007029B3" w:rsidP="007029B3">
      <w:pPr>
        <w:pStyle w:val="corpo"/>
      </w:pPr>
      <w:r>
        <w:t>Como o pai biológico pretendia ver reconhecida a sua paternidade, e o pai afetivo não queria ter sua paternidade retirada do registro, foi acolhida a proposta do Ministério Público pelo reconhecimento da dupla paternidade registral.</w:t>
      </w:r>
    </w:p>
    <w:p w14:paraId="7A7D4E56" w14:textId="77777777" w:rsidR="00367433" w:rsidRDefault="00367433" w:rsidP="00367433"/>
    <w:p w14:paraId="34332D3B" w14:textId="77777777" w:rsidR="00367433" w:rsidRDefault="00367433" w:rsidP="00367433">
      <w:pPr>
        <w:pStyle w:val="Ttulo3"/>
        <w:rPr>
          <w:b/>
        </w:rPr>
      </w:pPr>
      <w:bookmarkStart w:id="33" w:name="_Toc28034654"/>
      <w:r w:rsidRPr="00367433">
        <w:rPr>
          <w:b/>
        </w:rPr>
        <w:t>Filiação decorrente de Procriação Medicamente Assistida</w:t>
      </w:r>
      <w:bookmarkEnd w:id="33"/>
    </w:p>
    <w:p w14:paraId="2A5B112B" w14:textId="77777777" w:rsidR="00F41F61" w:rsidRDefault="00F41F61" w:rsidP="00F41F61"/>
    <w:p w14:paraId="02AE6535" w14:textId="77777777" w:rsidR="0019029E" w:rsidRDefault="00F41F61" w:rsidP="00F41F61">
      <w:pPr>
        <w:pStyle w:val="corpo"/>
      </w:pPr>
      <w:r>
        <w:t>A filiação originada de técnicas de reprodução medicamente assistida é resultante de um avanço biotecnológico, de modo que retrata uma realidade recente ainda não normatizada no Brasil, contudo, praticada no contexto brasileiro.</w:t>
      </w:r>
      <w:r w:rsidR="0019029E">
        <w:t xml:space="preserve"> Em que pese não haja uma normatização federal que regulamente o assunto, há a Resolução n° </w:t>
      </w:r>
      <w:r w:rsidR="00FD2010">
        <w:t>2168/2017, do Conselho Federal de Medicina, que adota as normas éticas para a utilização das técnicas de reprodução assistida.</w:t>
      </w:r>
      <w:r w:rsidR="0019029E">
        <w:t xml:space="preserve"> </w:t>
      </w:r>
      <w:r>
        <w:t xml:space="preserve"> </w:t>
      </w:r>
      <w:r w:rsidR="0019029E">
        <w:t xml:space="preserve"> </w:t>
      </w:r>
    </w:p>
    <w:p w14:paraId="776D59C6" w14:textId="58B37ADB" w:rsidR="00F41F61" w:rsidRDefault="00F41F61" w:rsidP="00F41F61">
      <w:pPr>
        <w:pStyle w:val="corpo"/>
      </w:pPr>
      <w:r>
        <w:t xml:space="preserve">De forma diversa do que ocorre no Brasil, existe uma lei específica sobre o assunto em Portugal, a Lei nº </w:t>
      </w:r>
      <w:r w:rsidR="005D70C7">
        <w:t>32</w:t>
      </w:r>
      <w:r>
        <w:t>/20</w:t>
      </w:r>
      <w:r w:rsidR="005D70C7">
        <w:t>0</w:t>
      </w:r>
      <w:r>
        <w:t>6.</w:t>
      </w:r>
      <w:r w:rsidR="007E1ED4">
        <w:t xml:space="preserve"> Mencionada lei regula a utilização de técnicas de procriação medicamente assistida, que abrangem a inseminação artificial, fertilização in vitro, gestação de substituição, entre outros.</w:t>
      </w:r>
      <w:r w:rsidR="00943387">
        <w:t xml:space="preserve"> </w:t>
      </w:r>
      <w:r>
        <w:t>Como bem observa Heloisa Helena Barboza “diversas partes do Direito Civil foram tangidas com a nova realidade criada pelos avanços da biotecnologia, especialmente o Direito de Família, e nele, em particular, a filiação, que constitui o seu cerne</w:t>
      </w:r>
      <w:r>
        <w:rPr>
          <w:rStyle w:val="Refdenotaderodap"/>
        </w:rPr>
        <w:footnoteReference w:id="71"/>
      </w:r>
      <w:r>
        <w:t>”.</w:t>
      </w:r>
    </w:p>
    <w:p w14:paraId="3919F1A0" w14:textId="0899C710" w:rsidR="00F41F61" w:rsidRDefault="00F41F61" w:rsidP="00F41F61">
      <w:pPr>
        <w:pStyle w:val="corpo"/>
      </w:pPr>
      <w:r>
        <w:t xml:space="preserve">É importante </w:t>
      </w:r>
      <w:r w:rsidR="00BA5D0C">
        <w:t>ressaltar</w:t>
      </w:r>
      <w:r>
        <w:t xml:space="preserve"> que, houve uma grande inovação </w:t>
      </w:r>
      <w:r w:rsidR="00BA5D0C">
        <w:t>no</w:t>
      </w:r>
      <w:r>
        <w:t xml:space="preserve"> uso das técnicas de reprodução assistida</w:t>
      </w:r>
      <w:r w:rsidR="00BA5D0C">
        <w:t>, quanto à filiação</w:t>
      </w:r>
      <w:r>
        <w:t xml:space="preserve">. </w:t>
      </w:r>
      <w:r w:rsidR="00C87125">
        <w:t>E, e</w:t>
      </w:r>
      <w:r>
        <w:t xml:space="preserve">mbora a determinação dessa relação entre pais e filhos não </w:t>
      </w:r>
      <w:r w:rsidR="00A255D5">
        <w:t>seja unânime na</w:t>
      </w:r>
      <w:r>
        <w:t xml:space="preserve"> doutrinária, nesse âmbito tem sido forte e crescente o entendimento pela filiação afetiva.</w:t>
      </w:r>
    </w:p>
    <w:p w14:paraId="335758DF" w14:textId="77777777" w:rsidR="00F41F61" w:rsidRDefault="00F41F61" w:rsidP="00F41F61">
      <w:pPr>
        <w:pStyle w:val="corpo"/>
      </w:pPr>
      <w:r>
        <w:t xml:space="preserve">Isso porque, para Maria Claudia Crespo </w:t>
      </w:r>
      <w:proofErr w:type="spellStart"/>
      <w:r>
        <w:t>Brauner</w:t>
      </w:r>
      <w:proofErr w:type="spellEnd"/>
      <w:r>
        <w:rPr>
          <w:rStyle w:val="Refdenotaderodap"/>
        </w:rPr>
        <w:footnoteReference w:id="72"/>
      </w:r>
      <w:r>
        <w:t xml:space="preserve"> “apesar de ser o vínculo biológico que liga os pais aos filhos, um fator relevante, diante das técnicas de reprodução artificial com a possibilidade de doação de material genético, torna-se necessária a criação de novos conceitos de maternidade e paternidade”.   </w:t>
      </w:r>
    </w:p>
    <w:p w14:paraId="38F9435F" w14:textId="77777777" w:rsidR="00F41F61" w:rsidRDefault="00F41F61" w:rsidP="00F41F61">
      <w:pPr>
        <w:pStyle w:val="corpo"/>
      </w:pPr>
      <w:r>
        <w:t xml:space="preserve"> Por séculos a filiação foi estabelecida fundamentalmente no parentesco por consanguinidade (natural) e, excepcionalmente, esse vínculo era reconhecido com base no parentesco civil, que se limitava à adoção, havendo, contudo, tratamento diverso aos filhos adotados, que eram reduzidos à condição de filho de segunda classe ou excluído de qualquer benefício, e fadado à discriminação</w:t>
      </w:r>
      <w:r>
        <w:rPr>
          <w:rStyle w:val="Refdenotaderodap"/>
          <w:szCs w:val="24"/>
        </w:rPr>
        <w:footnoteReference w:id="73"/>
      </w:r>
      <w:r>
        <w:t>.</w:t>
      </w:r>
    </w:p>
    <w:p w14:paraId="4D9A5D9E" w14:textId="7DC428B7" w:rsidR="00F41F61" w:rsidRDefault="00F41F61" w:rsidP="00F41F61">
      <w:pPr>
        <w:pStyle w:val="corpo"/>
      </w:pPr>
      <w:r>
        <w:t>Com o advento da Constituição</w:t>
      </w:r>
      <w:r w:rsidR="00F76F27">
        <w:t xml:space="preserve"> da República Portuguesa de 1976, e da Constituição </w:t>
      </w:r>
      <w:r>
        <w:t>Federal Brasileira de 1988, o tratamento dos filhos passou a ser isonômico, independentemente do tipo de vínculo existente</w:t>
      </w:r>
      <w:r w:rsidR="00C87125">
        <w:t>,</w:t>
      </w:r>
      <w:r>
        <w:t xml:space="preserve"> e da espécie de origem do parentesco</w:t>
      </w:r>
      <w:r>
        <w:rPr>
          <w:rStyle w:val="Refdenotaderodap"/>
          <w:szCs w:val="24"/>
        </w:rPr>
        <w:footnoteReference w:id="74"/>
      </w:r>
      <w:r>
        <w:t>. Desta feita, conforme previsão constitucional do</w:t>
      </w:r>
      <w:r w:rsidR="00F76F27">
        <w:t>s</w:t>
      </w:r>
      <w:r>
        <w:t xml:space="preserve"> artigo</w:t>
      </w:r>
      <w:r w:rsidR="00F76F27">
        <w:t>s 36°, n°</w:t>
      </w:r>
      <w:r w:rsidR="00C87125">
        <w:t xml:space="preserve"> </w:t>
      </w:r>
      <w:r w:rsidR="00F76F27">
        <w:t>4, CRP, e</w:t>
      </w:r>
      <w:r>
        <w:t xml:space="preserve"> 227, parágrafo 6º,</w:t>
      </w:r>
      <w:r w:rsidR="00F76F27">
        <w:t xml:space="preserve"> CFB</w:t>
      </w:r>
      <w:r w:rsidR="00E50109">
        <w:t>,</w:t>
      </w:r>
      <w:r>
        <w:t xml:space="preserve"> os filhos passaram a ter igualdade de qualificação e direitos, sendo proibidas quaisquer designações discriminatórias.</w:t>
      </w:r>
    </w:p>
    <w:p w14:paraId="36064287" w14:textId="7A3D55AE" w:rsidR="00F41F61" w:rsidRDefault="00F41F61" w:rsidP="00F41F61">
      <w:pPr>
        <w:pStyle w:val="corpo"/>
      </w:pPr>
      <w:r>
        <w:t xml:space="preserve">O uso das técnicas de reprodução assistida criaram dúvidas quanto à filiação, pois, mais pessoas, além dos pais, passaram a ter participação no processo de criação, aventando-se a possibilidade do vínculo ser criado por ambos os tipos de parentesco, ou seja, os doadores genéticos têm o vínculo consanguíneo, e os titulares do projeto parental, têm o vínculo civil. </w:t>
      </w:r>
      <w:r w:rsidR="00C87125">
        <w:t>A previsão legal</w:t>
      </w:r>
      <w:r>
        <w:t xml:space="preserve"> deixa em aberto as possibilidades de origem do parentesco civil, </w:t>
      </w:r>
      <w:r w:rsidR="00C87125">
        <w:t xml:space="preserve">não </w:t>
      </w:r>
      <w:r>
        <w:t xml:space="preserve">delimitando às hipóteses </w:t>
      </w:r>
      <w:r w:rsidR="00C87125">
        <w:t xml:space="preserve">fixadas </w:t>
      </w:r>
      <w:r>
        <w:t xml:space="preserve">em lei, razão pela qual é razoável concluir </w:t>
      </w:r>
      <w:r w:rsidR="006A0036">
        <w:t>pel</w:t>
      </w:r>
      <w:r>
        <w:t>a existência de vínculo civil entre o filho e os pais que desejaram/planejaram seu nascimento, tenham ambos colaborado, ou não, com seu material genético.</w:t>
      </w:r>
    </w:p>
    <w:p w14:paraId="2932FD80" w14:textId="53C34F8F" w:rsidR="00F41F61" w:rsidRDefault="00F41F61" w:rsidP="00F41F61">
      <w:pPr>
        <w:pStyle w:val="corpo"/>
      </w:pPr>
      <w:r>
        <w:t xml:space="preserve">Neste sentido, coube à sociedade </w:t>
      </w:r>
      <w:r w:rsidR="00AA562F">
        <w:t xml:space="preserve">a indagação </w:t>
      </w:r>
      <w:r>
        <w:t xml:space="preserve">quanto ao fundamento da paternidade-filiação, não se detendo ao ato sexual, diante dos avanços tecno-científicos. Assim, para Guilherme Calmon Nogueira da Gama ao lado da parentalidade-filiação adotivas, há outra modalidade de parentalidade-filiação, em que não </w:t>
      </w:r>
      <w:r w:rsidR="001169DE">
        <w:t xml:space="preserve">há </w:t>
      </w:r>
      <w:r>
        <w:t>como base a relação sexual entre homem e mulher, o que demonstra a necessidade de reconstrução de um modelo jurídico clássico de reprodução humana: os casos de reprodução assistida ou procriação artificial</w:t>
      </w:r>
      <w:r>
        <w:rPr>
          <w:rStyle w:val="Refdenotaderodap"/>
        </w:rPr>
        <w:footnoteReference w:id="75"/>
      </w:r>
      <w:r>
        <w:t xml:space="preserve">.   </w:t>
      </w:r>
    </w:p>
    <w:p w14:paraId="2433E3C7" w14:textId="6CB9A616" w:rsidR="00F41F61" w:rsidRDefault="001169DE" w:rsidP="00F41F61">
      <w:pPr>
        <w:pStyle w:val="corpo"/>
      </w:pPr>
      <w:r>
        <w:t>Assim</w:t>
      </w:r>
      <w:r w:rsidR="00F41F61">
        <w:t xml:space="preserve">, oportuno os ensinamentos de Christine </w:t>
      </w:r>
      <w:proofErr w:type="spellStart"/>
      <w:r w:rsidR="00F41F61">
        <w:t>Keler</w:t>
      </w:r>
      <w:proofErr w:type="spellEnd"/>
      <w:r w:rsidR="00F41F61">
        <w:t xml:space="preserve"> de Lima Mendes:</w:t>
      </w:r>
    </w:p>
    <w:p w14:paraId="75B61FAF" w14:textId="77777777" w:rsidR="00F41F61" w:rsidRDefault="00F41F61" w:rsidP="00F41F61">
      <w:pPr>
        <w:pStyle w:val="corpo"/>
      </w:pPr>
    </w:p>
    <w:p w14:paraId="66EA66F8" w14:textId="7658AB62" w:rsidR="00F41F61" w:rsidRPr="006A3998" w:rsidRDefault="00F41F61" w:rsidP="00F41F61">
      <w:pPr>
        <w:pStyle w:val="SemEspaamento"/>
      </w:pPr>
      <w:r>
        <w:t xml:space="preserve">A manifestação de vontade, associada a alguns outros elementos, deverá receber tratamento diferente daquele que se considera na atualidade a respeito do tema, bem como os riscos inerentes ao recurso de reprodução assistida, com base nos princípios e valores </w:t>
      </w:r>
      <w:r w:rsidRPr="00343EC4">
        <w:t>jurídicos</w:t>
      </w:r>
      <w:r>
        <w:t xml:space="preserve"> e constitucionais em questão. Há em parte, nessa temática envolvendo a filiação, o fenômeno da desbiologização, tal como apreendido pela doutrina mais contemporânea. Na realidade, a irrelevância do fator biológico se apresenta como ponto comum na adoção e na reprodução assistida heteróloga que, conforme será oportunamente analisado, devem integrar a origem civil do parentesco para o fim de distinguir da origem sanguínea que se atrela ao elemento biológico. Quanto a alguns efeitos, é perfeitamente possível equiparar a filiação adotiva à filiação resultante de procriação assistida heteróloga naquilo que ambas têm em comum: a origem civil</w:t>
      </w:r>
      <w:r>
        <w:rPr>
          <w:rStyle w:val="Refdenotaderodap"/>
        </w:rPr>
        <w:footnoteReference w:id="76"/>
      </w:r>
      <w:r>
        <w:t xml:space="preserve">.  </w:t>
      </w:r>
    </w:p>
    <w:p w14:paraId="497D3599" w14:textId="77777777" w:rsidR="00F41F61" w:rsidRDefault="00F41F61" w:rsidP="00F41F61">
      <w:pPr>
        <w:rPr>
          <w:rFonts w:cs="Times New Roman"/>
          <w:b w:val="0"/>
          <w:bCs/>
          <w:sz w:val="28"/>
          <w:szCs w:val="28"/>
        </w:rPr>
      </w:pPr>
    </w:p>
    <w:p w14:paraId="637E11EF" w14:textId="77777777" w:rsidR="00F41F61" w:rsidRPr="00C120DE" w:rsidRDefault="00F41F61" w:rsidP="00F41F61">
      <w:pPr>
        <w:pStyle w:val="corpo"/>
      </w:pPr>
      <w:r w:rsidRPr="00C120DE">
        <w:t>Sobre a determinação da filiação, nos casos de reprodução assistida, Silvia da Cunha Fernandes é enfática ao afirmar que a vontade do casal é o ponto importante, “não devendo haver dúvidas de que o pai e mãe serão aqueles que se submeterem voluntariamente a tratamento de reprodução artificial, devendo prevalecer a verdade sociológica, afetiva e individual</w:t>
      </w:r>
      <w:r w:rsidRPr="00C120DE">
        <w:rPr>
          <w:rStyle w:val="Refdenotaderodap"/>
          <w:bCs/>
          <w:szCs w:val="24"/>
        </w:rPr>
        <w:footnoteReference w:id="77"/>
      </w:r>
      <w:r w:rsidRPr="00C120DE">
        <w:t>”.</w:t>
      </w:r>
    </w:p>
    <w:p w14:paraId="7682F87B" w14:textId="77777777" w:rsidR="00F41F61" w:rsidRDefault="00F41F61" w:rsidP="00F41F61">
      <w:pPr>
        <w:pStyle w:val="corpo"/>
      </w:pPr>
      <w:r w:rsidRPr="00C120DE">
        <w:t xml:space="preserve"> Heloisa Helena Barboza aduz em sua obra que cada vez mais se torna difícil insistir nas relações biológicas quando se fala em filiação mediante intervenção da ciência, posto que a importância da autonomia da vontade e da responsabilização, como elementos da parentalidade, devem se sobrepor ao vínculo sanguíneo</w:t>
      </w:r>
      <w:r w:rsidRPr="00C120DE">
        <w:rPr>
          <w:rStyle w:val="Refdenotaderodap"/>
          <w:bCs/>
          <w:szCs w:val="24"/>
        </w:rPr>
        <w:footnoteReference w:id="78"/>
      </w:r>
      <w:r w:rsidRPr="00C120DE">
        <w:t xml:space="preserve">. </w:t>
      </w:r>
    </w:p>
    <w:p w14:paraId="19836DCA" w14:textId="77777777" w:rsidR="00395687" w:rsidRDefault="00395687" w:rsidP="00F41F61">
      <w:pPr>
        <w:pStyle w:val="corpo"/>
      </w:pPr>
      <w:r>
        <w:t>Em Portugal, há a regulamentação da filiação decorrente de procriação medicamente assistida através da Lei n° 32/2006. Como referida lei trata de várias formas de procriação medicamente assistidas, como inseminação artificial, fertilização in vitro, gestação de substituição, entre outras, existem mais de um artigo que tratam do estabelecimento da filiação, a depender do caso concreto</w:t>
      </w:r>
      <w:r w:rsidR="00652089">
        <w:t>, ou seja,</w:t>
      </w:r>
      <w:r>
        <w:t xml:space="preserve"> da técnica médica</w:t>
      </w:r>
      <w:r w:rsidR="00D43031">
        <w:t xml:space="preserve"> que foi</w:t>
      </w:r>
      <w:r>
        <w:t xml:space="preserve"> utilizada.  </w:t>
      </w:r>
    </w:p>
    <w:p w14:paraId="62178F76" w14:textId="77777777" w:rsidR="00D449A8" w:rsidRDefault="00E56B17" w:rsidP="00F41F61">
      <w:pPr>
        <w:pStyle w:val="corpo"/>
      </w:pPr>
      <w:r>
        <w:t>No caso da gestação de substituição, o artigo 8°, n° 7, da Lei n° 32/2006, determina que a criança que nasceu desse procedimento será tida como filha dos beneficiários, e não da gestante.</w:t>
      </w:r>
      <w:r w:rsidR="00D449A8">
        <w:t xml:space="preserve"> Mais adiante, quanto aos doadores de espermatozoides, ovócitos e embriões, estes não podem ser havidos como progenitores da criança que vai nascer (artigo 10°, n° 2).</w:t>
      </w:r>
    </w:p>
    <w:p w14:paraId="3CE77ABC" w14:textId="385BBD83" w:rsidR="005F698D" w:rsidRDefault="00D449A8" w:rsidP="00F41F61">
      <w:pPr>
        <w:pStyle w:val="corpo"/>
      </w:pPr>
      <w:r>
        <w:t xml:space="preserve">Ainda em relação aos casos de doação de material genético, mais especificamente à situação de doador de sémen, este também não poderá ser considerado progenitor da criança, não tendo qualquer poder sobre a prole. Verifica-se, então, que nos casos apontados acima, a determinação da filiação não se dá pelo critério biológico, mas pelo jurídico, </w:t>
      </w:r>
      <w:r w:rsidR="00220157">
        <w:t>em</w:t>
      </w:r>
      <w:r>
        <w:t xml:space="preserve"> que é a lei que estabelece o vínculo entre pai ou mãe e filho.</w:t>
      </w:r>
    </w:p>
    <w:p w14:paraId="175C421C" w14:textId="4FC2B649" w:rsidR="00D60286" w:rsidRDefault="005F698D" w:rsidP="00F41F61">
      <w:pPr>
        <w:pStyle w:val="corpo"/>
      </w:pPr>
      <w:r>
        <w:t>Ademais, o artigo 20°, n° 1, da Lei n° 32/2006, trata da determinação da parentalidade, e preceitua que a criança resultado d</w:t>
      </w:r>
      <w:r w:rsidR="009366F9">
        <w:t>e</w:t>
      </w:r>
      <w:r>
        <w:t xml:space="preserve"> técnica </w:t>
      </w:r>
      <w:r w:rsidR="00BC0595">
        <w:t xml:space="preserve">de procriação </w:t>
      </w:r>
      <w:r>
        <w:t xml:space="preserve">medicamente assistida será considerada filha de quem estiver casada ou em união de fato com a pessoa beneficiária, </w:t>
      </w:r>
      <w:r w:rsidR="007206D2">
        <w:t>uma vez que há a presunção de que ambas concordaram com o procedimento médico e, assim, foram determinantes para o nascimento da criança.</w:t>
      </w:r>
    </w:p>
    <w:p w14:paraId="4960EE69" w14:textId="61CCE5E1" w:rsidR="00E56B17" w:rsidRPr="00C120DE" w:rsidRDefault="00D60286" w:rsidP="00F41F61">
      <w:pPr>
        <w:pStyle w:val="corpo"/>
      </w:pPr>
      <w:r>
        <w:t>Existe a possibilidade também da impugnação da parentalidade, nos casos em que a pessoa casada ou em união estável com aquela que se submeteu ao procedimento médico obtiver êxito em provar que não expressou seu consentimento ou que a criança não é fruto da manifestação prestada.</w:t>
      </w:r>
      <w:r w:rsidR="004A4378">
        <w:t xml:space="preserve"> Assim, a problemática que, porventura, possa ocorrer está relacionada à técnica heteróloga de reprodução, vez que a técnica homóloga utiliza gametas do próprio casal, o que não geraria dúvidas de que são os progenitores da criança concebida.</w:t>
      </w:r>
      <w:r w:rsidR="007206D2">
        <w:t xml:space="preserve"> </w:t>
      </w:r>
      <w:r w:rsidR="00D449A8">
        <w:t xml:space="preserve">   </w:t>
      </w:r>
    </w:p>
    <w:p w14:paraId="26A6FB80" w14:textId="6748BC5F" w:rsidR="00F41F61" w:rsidRPr="00C120DE" w:rsidRDefault="00F41F61" w:rsidP="00F41F61">
      <w:pPr>
        <w:pStyle w:val="corpo"/>
      </w:pPr>
      <w:r w:rsidRPr="00C120DE">
        <w:t>A jurisprudência ainda não apresenta posicionamento firmado</w:t>
      </w:r>
      <w:r w:rsidR="009366F9">
        <w:t>:</w:t>
      </w:r>
      <w:r w:rsidRPr="00C120DE">
        <w:t xml:space="preserve"> por um lado, reconhece o vínculo afetivo como fundamento familiar, </w:t>
      </w:r>
      <w:r w:rsidR="009366F9">
        <w:t xml:space="preserve">e </w:t>
      </w:r>
      <w:r w:rsidRPr="00C120DE">
        <w:t>por outro admit</w:t>
      </w:r>
      <w:r w:rsidR="009366F9">
        <w:t>e</w:t>
      </w:r>
      <w:r w:rsidRPr="00C120DE">
        <w:t xml:space="preserve"> a existência do direito de conhecer a identidade genética. A grande divergência pode ser observada nos julgados acerca da adoção e da “adoção à brasileira”, colocando-se o embate entre o direito ao estado de filiação e o direito </w:t>
      </w:r>
      <w:r w:rsidR="009366F9">
        <w:t>ao conhecimento da</w:t>
      </w:r>
      <w:r w:rsidRPr="00C120DE">
        <w:t xml:space="preserve"> origem genética, havendo, em alguns casos, a anulação do registro realizado com base na socioafetividade.</w:t>
      </w:r>
    </w:p>
    <w:p w14:paraId="6F0B30AB" w14:textId="77777777" w:rsidR="00F41F61" w:rsidRPr="00C120DE" w:rsidRDefault="00F41F61" w:rsidP="00F41F61">
      <w:pPr>
        <w:pStyle w:val="corpo"/>
      </w:pPr>
      <w:r w:rsidRPr="00C120DE">
        <w:t>O entendimento do Superior Tribunal de Justiça pode ser observado na ementa a seguir:</w:t>
      </w:r>
    </w:p>
    <w:p w14:paraId="1B5701CA" w14:textId="77777777" w:rsidR="00F41F61" w:rsidRDefault="00F41F61" w:rsidP="00F41F61">
      <w:pPr>
        <w:rPr>
          <w:rFonts w:cs="Times New Roman"/>
          <w:bCs/>
          <w:sz w:val="28"/>
          <w:szCs w:val="28"/>
        </w:rPr>
      </w:pPr>
    </w:p>
    <w:p w14:paraId="73EC6AFC" w14:textId="77777777" w:rsidR="00F41F61" w:rsidRDefault="00F41F61" w:rsidP="00F41F61">
      <w:pPr>
        <w:pStyle w:val="SemEspaamento"/>
      </w:pPr>
      <w:r>
        <w:t>DIREITO DE FAMÍLIA. RECURSO ESPECIAL. AÇÃO INVESTIGATÓRIA DE PATERNIDADE E MATERNIDADE AJUIZADA PELA FILHA. OCORRÊNCIA DA CHAMADA “ADOÇÃO À BRASILEIRA”. ROMPIMENTO DOS VÍNCULOS CIVIS DECORRENTES DA FILIAÇÃO BIOLÓGICA. NÃO OCORRÊNCIA. PATERNIDADE E MATERNIDADE RECONHECIDOS.</w:t>
      </w:r>
    </w:p>
    <w:p w14:paraId="4FD14620" w14:textId="77777777" w:rsidR="00F41F61" w:rsidRDefault="00F41F61" w:rsidP="00F41F61">
      <w:pPr>
        <w:pStyle w:val="SemEspaamento"/>
      </w:pPr>
      <w:r>
        <w:t xml:space="preserve">1. A tese segundo a qual a paternidade socioafetiva sempre prevalece sobre a biológica deve ser analisada com bastante ponderação, e depende sempre do exame do caso concreto. É que, </w:t>
      </w:r>
      <w:r w:rsidRPr="00683968">
        <w:rPr>
          <w:b/>
          <w:u w:val="single"/>
        </w:rPr>
        <w:t>em diversos precedentes desta Corte, a prevalência da paternidade socioafetiva sobre a biológica foi proclamada em um contexto de ação negatória de paternidade ajuizada pelo pai registral (ou por terceiros),</w:t>
      </w:r>
      <w:r>
        <w:t xml:space="preserve"> situação bem diversa da que ocorre quando o filho registral é quem busca sua paternidade biológica, sobretudo no cenário da chamada “adoção à brasileira”.</w:t>
      </w:r>
    </w:p>
    <w:p w14:paraId="2A7C07C7" w14:textId="77777777" w:rsidR="00F41F61" w:rsidRDefault="00F41F61" w:rsidP="00F41F61">
      <w:pPr>
        <w:pStyle w:val="SemEspaamento"/>
      </w:pPr>
      <w:r>
        <w:t xml:space="preserve">2. </w:t>
      </w:r>
      <w:r w:rsidRPr="00683968">
        <w:rPr>
          <w:b/>
          <w:u w:val="single"/>
        </w:rPr>
        <w:t>De fato, é de prevalecer a paternidade socioafetiva sobre a biológica para garantir direitos dos filhos, na esteira do princípio do melhor interesse da prole</w:t>
      </w:r>
      <w:r>
        <w:t xml:space="preserve">, sem que, necessariamente, a assertiva seja verdadeira quando é o filho que busca a paternidade biológica em detrimento da socioafetiva. No caso de ser o filho – o maior interessado na manutenção do vínculo civil resultante do liame socioafetivo – quem vindica estado contrário ao que consta no registro civil, </w:t>
      </w:r>
      <w:proofErr w:type="spellStart"/>
      <w:r>
        <w:t>socorre-lhe</w:t>
      </w:r>
      <w:proofErr w:type="spellEnd"/>
      <w:r>
        <w:t xml:space="preserve"> a existência de “erro ou falsidade” (art. 1.604 do CC/02) para os quais não contribuiu. Afastar a possibilidade de o filho pleitear o reconhecimento da paternidade biológica, no caso de “adoção à brasileira”, significa impor-lhe que se conforme com essa situação criada à sua revelia e à margem da lei.</w:t>
      </w:r>
    </w:p>
    <w:p w14:paraId="73432213" w14:textId="77777777" w:rsidR="00F41F61" w:rsidRDefault="00F41F61" w:rsidP="00F41F61">
      <w:pPr>
        <w:pStyle w:val="SemEspaamento"/>
      </w:pPr>
      <w:r>
        <w:t>3. A paternidade biológica gera, necessariamente, uma responsabilidade não evanescente e que não se desfaz com a prática ilícita da chamada “adoção à brasileira”, independentemente da nobreza dos desígnios que a motivaram. E, do mesmo modo, a filiação socioafetiva desenvolvida com os pais registrais não afasta os direitos da filha resultantes da filiação biológica, não podendo, no caso, haver equiparação entre a adoção regular e a chamada “adoção à brasileira”.</w:t>
      </w:r>
    </w:p>
    <w:p w14:paraId="717F295C" w14:textId="77777777" w:rsidR="00F41F61" w:rsidRDefault="00F41F61" w:rsidP="00F41F61">
      <w:pPr>
        <w:pStyle w:val="SemEspaamento"/>
      </w:pPr>
      <w:r>
        <w:t>4. Recurso especial provido para julgar procedente o pedido deduzido pela autora relativamente ao reconhecimento da paternidade e maternidade, com todos os consectários legais, determinando-se também a anulação do registro de nascimento para que figurem os réus como pais da requerente</w:t>
      </w:r>
      <w:r>
        <w:rPr>
          <w:rStyle w:val="Refdenotaderodap"/>
        </w:rPr>
        <w:footnoteReference w:id="79"/>
      </w:r>
      <w:r>
        <w:t xml:space="preserve">. (grifo nosso)    </w:t>
      </w:r>
    </w:p>
    <w:p w14:paraId="3662B55E" w14:textId="77777777" w:rsidR="00F41F61" w:rsidRDefault="00F41F61" w:rsidP="00F41F61">
      <w:pPr>
        <w:rPr>
          <w:rFonts w:cs="Times New Roman"/>
          <w:bCs/>
        </w:rPr>
      </w:pPr>
    </w:p>
    <w:p w14:paraId="03D4B63D" w14:textId="77777777" w:rsidR="00F41F61" w:rsidRPr="00C120DE" w:rsidRDefault="00F41F61" w:rsidP="00F41F61">
      <w:pPr>
        <w:pStyle w:val="corpo"/>
      </w:pPr>
      <w:r w:rsidRPr="00C120DE">
        <w:t>Parte da doutrina e da jurisprudência reconhece o direito ao conhecimento da origem genética, contudo, como defende Paulo Luiz Netto Lobo “tendo a origem genética perdido o papel legitimador da filiação, passou a integrar os direitos da personalidade, com finalidade distinta, desvinculada do estado de filiação</w:t>
      </w:r>
      <w:r w:rsidRPr="00C120DE">
        <w:rPr>
          <w:rStyle w:val="Refdenotaderodap"/>
          <w:bCs/>
          <w:szCs w:val="24"/>
        </w:rPr>
        <w:footnoteReference w:id="80"/>
      </w:r>
      <w:r w:rsidRPr="00C120DE">
        <w:t>”. Assim, o autor faz a diferenciação entre o direito de família, como aquele que determina os direitos e deveres das pessoas dentro do núcleo familiar, e o direito da personalidade, como aquele que diz respeito à própria pessoa, sem relacioná-la com qualquer outro indivíduo ou grupo, incluindo neste o direito de conhecer sua origem genética. Acrescenta que:</w:t>
      </w:r>
    </w:p>
    <w:p w14:paraId="125FE288" w14:textId="77777777" w:rsidR="00F41F61" w:rsidRPr="000351BF" w:rsidRDefault="00F41F61" w:rsidP="00F41F61">
      <w:pPr>
        <w:rPr>
          <w:rFonts w:cs="Times New Roman"/>
          <w:bCs/>
        </w:rPr>
      </w:pPr>
    </w:p>
    <w:p w14:paraId="038240DE" w14:textId="220011E9" w:rsidR="00F41F61" w:rsidRDefault="00F41F61" w:rsidP="00F41F61">
      <w:pPr>
        <w:pStyle w:val="SemEspaamento"/>
      </w:pPr>
      <w:r>
        <w:t>As normas de regência e os efeitos jurídicos não se confundem nem se interpenetram. Para garantir a tutela do direito da personalidade, não é necessário investigar a paternidade. O objeto da tutela do direito ao conhecimento da origem genética é a garantia do direito da personalidade, na espécie, direito à vida, pois os dados da ciência atual apontam para a necessidade de cada indivíduo saber a história de saúde de seus parentes biológicos próximos, para prevenção da própria vida</w:t>
      </w:r>
      <w:r>
        <w:rPr>
          <w:rStyle w:val="Refdenotaderodap"/>
        </w:rPr>
        <w:footnoteReference w:id="81"/>
      </w:r>
      <w:r>
        <w:t>.</w:t>
      </w:r>
    </w:p>
    <w:p w14:paraId="36FF46BC" w14:textId="77777777" w:rsidR="00F41F61" w:rsidRDefault="00F41F61" w:rsidP="00F41F61">
      <w:pPr>
        <w:pStyle w:val="SemEspaamento"/>
        <w:spacing w:line="360" w:lineRule="auto"/>
      </w:pPr>
    </w:p>
    <w:p w14:paraId="7A497C13" w14:textId="6BA3D6D9" w:rsidR="00F41F61" w:rsidRDefault="00F41F61" w:rsidP="00F41F61">
      <w:pPr>
        <w:pStyle w:val="corpo"/>
      </w:pPr>
      <w:r>
        <w:t>Nesse sentido</w:t>
      </w:r>
      <w:r w:rsidR="00CA7B59">
        <w:t>,</w:t>
      </w:r>
      <w:r>
        <w:t xml:space="preserve"> Maria Helena Diniz leciona que o direito à origem genética (direito da personalidade da pessoa advinda de inseminação artificial heteróloga) é o de saber a história sobre sua própria saúde e de seus parentes consanguíneos, a fim de prevenir moléstias física ou mental ou de evitar incesto. Assim, o direito à origem genética não gera o direito à filiação, nem o direito </w:t>
      </w:r>
      <w:r w:rsidR="00CA7B59">
        <w:t>a</w:t>
      </w:r>
      <w:r>
        <w:t xml:space="preserve"> alimentos, e nem o sucessório</w:t>
      </w:r>
      <w:r>
        <w:rPr>
          <w:rStyle w:val="Refdenotaderodap"/>
        </w:rPr>
        <w:footnoteReference w:id="82"/>
      </w:r>
      <w:r>
        <w:t xml:space="preserve">. </w:t>
      </w:r>
    </w:p>
    <w:p w14:paraId="7029E6AD" w14:textId="77777777" w:rsidR="00F41F61" w:rsidRPr="00706A93" w:rsidRDefault="00F41F61" w:rsidP="00F41F61">
      <w:pPr>
        <w:pStyle w:val="corpo"/>
        <w:rPr>
          <w:bCs/>
          <w:szCs w:val="24"/>
        </w:rPr>
      </w:pPr>
      <w:r w:rsidRPr="00706A93">
        <w:rPr>
          <w:bCs/>
          <w:szCs w:val="24"/>
        </w:rPr>
        <w:t>A controvérsia quanto ao que deve prevalecer: genética ou afetividade, tomou tal proporção que já chegou ao Supremo Tribunal Federal Brasileiro, por meio do Recurso Extraordinário com Agravo (ARE) nº 692.186, em ação em que se pleiteia a anulação do registro de nascimento feito pelos avós paternos, como se estes fossem os pais, e o reconhecimento da paternidade do pai biológico</w:t>
      </w:r>
      <w:r w:rsidRPr="00706A93">
        <w:rPr>
          <w:rStyle w:val="Refdenotaderodap"/>
          <w:bCs/>
          <w:szCs w:val="24"/>
        </w:rPr>
        <w:footnoteReference w:id="83"/>
      </w:r>
      <w:r w:rsidRPr="00706A93">
        <w:rPr>
          <w:bCs/>
          <w:szCs w:val="24"/>
        </w:rPr>
        <w:t>. Nesse caso foi reconhecida a repercussão geral da questão, aguardando-se ainda o julgamento.</w:t>
      </w:r>
    </w:p>
    <w:p w14:paraId="12836BC5" w14:textId="77777777" w:rsidR="00F41F61" w:rsidRPr="00706A93" w:rsidRDefault="00F41F61" w:rsidP="00F41F61">
      <w:pPr>
        <w:pStyle w:val="corpo"/>
        <w:rPr>
          <w:bCs/>
          <w:szCs w:val="24"/>
        </w:rPr>
      </w:pPr>
      <w:r w:rsidRPr="00706A93">
        <w:rPr>
          <w:bCs/>
          <w:szCs w:val="24"/>
        </w:rPr>
        <w:t xml:space="preserve">De todo modo, há de se concordar com a conclusão de Adriana Caldas do </w:t>
      </w:r>
      <w:r>
        <w:rPr>
          <w:bCs/>
          <w:szCs w:val="24"/>
        </w:rPr>
        <w:t>R</w:t>
      </w:r>
      <w:r w:rsidRPr="00706A93">
        <w:rPr>
          <w:bCs/>
          <w:szCs w:val="24"/>
        </w:rPr>
        <w:t xml:space="preserve">ego Freiras </w:t>
      </w:r>
      <w:proofErr w:type="spellStart"/>
      <w:r w:rsidRPr="00706A93">
        <w:rPr>
          <w:bCs/>
          <w:szCs w:val="24"/>
        </w:rPr>
        <w:t>Dabus</w:t>
      </w:r>
      <w:proofErr w:type="spellEnd"/>
      <w:r w:rsidRPr="00706A93">
        <w:rPr>
          <w:bCs/>
          <w:szCs w:val="24"/>
        </w:rPr>
        <w:t xml:space="preserve"> Maluf, que afirma haver uma tendência contemporânea para privilegiar o princípio da socioafetividade em detrimento da parentalidade biológica, além do princípio do interesse do menor</w:t>
      </w:r>
      <w:r w:rsidRPr="00706A93">
        <w:rPr>
          <w:rStyle w:val="Refdenotaderodap"/>
          <w:bCs/>
          <w:szCs w:val="24"/>
        </w:rPr>
        <w:footnoteReference w:id="84"/>
      </w:r>
      <w:r w:rsidRPr="00706A93">
        <w:rPr>
          <w:bCs/>
          <w:szCs w:val="24"/>
        </w:rPr>
        <w:t>.</w:t>
      </w:r>
    </w:p>
    <w:p w14:paraId="56CA0DDA" w14:textId="653296DE" w:rsidR="00F41F61" w:rsidRPr="00706A93" w:rsidRDefault="00F41F61" w:rsidP="00F41F61">
      <w:pPr>
        <w:pStyle w:val="corpo"/>
        <w:rPr>
          <w:bCs/>
          <w:szCs w:val="24"/>
        </w:rPr>
      </w:pPr>
      <w:r w:rsidRPr="00706A93">
        <w:rPr>
          <w:bCs/>
          <w:szCs w:val="24"/>
        </w:rPr>
        <w:t xml:space="preserve">O artigo 1.597 do Código Civil brasileiro tratou da presunção de filiação </w:t>
      </w:r>
      <w:r w:rsidR="00DB12C3">
        <w:rPr>
          <w:bCs/>
          <w:szCs w:val="24"/>
        </w:rPr>
        <w:t>àqueles</w:t>
      </w:r>
      <w:r w:rsidR="000066D7">
        <w:rPr>
          <w:bCs/>
          <w:szCs w:val="24"/>
        </w:rPr>
        <w:t xml:space="preserve"> advindos</w:t>
      </w:r>
      <w:r w:rsidRPr="00706A93">
        <w:rPr>
          <w:bCs/>
          <w:szCs w:val="24"/>
        </w:rPr>
        <w:t xml:space="preserve"> da reprodução assistida homóloga e heteróloga. Entretanto, não fez qualquer previsão quanto à </w:t>
      </w:r>
      <w:r w:rsidR="00DB12C3">
        <w:rPr>
          <w:bCs/>
          <w:szCs w:val="24"/>
        </w:rPr>
        <w:t xml:space="preserve">realização </w:t>
      </w:r>
      <w:r w:rsidRPr="00706A93">
        <w:rPr>
          <w:bCs/>
          <w:szCs w:val="24"/>
        </w:rPr>
        <w:t xml:space="preserve">de fertilização </w:t>
      </w:r>
      <w:r w:rsidRPr="00706A93">
        <w:rPr>
          <w:bCs/>
          <w:i/>
          <w:szCs w:val="24"/>
        </w:rPr>
        <w:t>in vitro</w:t>
      </w:r>
      <w:r w:rsidRPr="00706A93">
        <w:rPr>
          <w:bCs/>
          <w:szCs w:val="24"/>
        </w:rPr>
        <w:t xml:space="preserve"> combinada com a cessão de útero, procedimento que na prática causa desestruturação dos conceitos de filiação, considerando que permite uma total dissociação das etapas do processo de procriação: fertilização, gestação e ser mãe</w:t>
      </w:r>
      <w:r w:rsidRPr="00706A93">
        <w:rPr>
          <w:rStyle w:val="Refdenotaderodap"/>
          <w:bCs/>
          <w:szCs w:val="24"/>
        </w:rPr>
        <w:footnoteReference w:id="85"/>
      </w:r>
      <w:r w:rsidRPr="00706A93">
        <w:rPr>
          <w:bCs/>
          <w:szCs w:val="24"/>
        </w:rPr>
        <w:t>.</w:t>
      </w:r>
    </w:p>
    <w:p w14:paraId="20824142" w14:textId="55B58680" w:rsidR="00F41F61" w:rsidRPr="00706A93" w:rsidRDefault="00F41F61" w:rsidP="00F41F61">
      <w:pPr>
        <w:pStyle w:val="corpo"/>
        <w:rPr>
          <w:bCs/>
          <w:szCs w:val="24"/>
        </w:rPr>
      </w:pPr>
      <w:r w:rsidRPr="00706A93">
        <w:rPr>
          <w:bCs/>
          <w:szCs w:val="24"/>
        </w:rPr>
        <w:t xml:space="preserve">Em relação à cessão de útero, este procedimento pode envolver vários casais, </w:t>
      </w:r>
      <w:r w:rsidR="009E7F72">
        <w:rPr>
          <w:bCs/>
          <w:szCs w:val="24"/>
        </w:rPr>
        <w:t xml:space="preserve">já que </w:t>
      </w:r>
      <w:r w:rsidRPr="00706A93">
        <w:rPr>
          <w:bCs/>
          <w:szCs w:val="24"/>
        </w:rPr>
        <w:t>poderá haver doação do óvulo e espermatozoide, além da gestante e seu marido, e os titulares do projeto parental.</w:t>
      </w:r>
      <w:r>
        <w:rPr>
          <w:bCs/>
          <w:szCs w:val="24"/>
        </w:rPr>
        <w:t xml:space="preserve"> </w:t>
      </w:r>
      <w:r w:rsidRPr="00706A93">
        <w:rPr>
          <w:bCs/>
          <w:szCs w:val="24"/>
        </w:rPr>
        <w:t>Assim, conforme destaca Eduardo de Oliveira Leite, o procedimento cria a possibilidade do parentesco genético, parentesco de gestação, parentesco de educação e afeição, ao arrepio de qualquer previsão jurídica</w:t>
      </w:r>
      <w:r w:rsidRPr="00706A93">
        <w:rPr>
          <w:rStyle w:val="Refdenotaderodap"/>
          <w:bCs/>
          <w:szCs w:val="24"/>
        </w:rPr>
        <w:footnoteReference w:id="86"/>
      </w:r>
      <w:r w:rsidRPr="00706A93">
        <w:rPr>
          <w:bCs/>
          <w:szCs w:val="24"/>
        </w:rPr>
        <w:t xml:space="preserve">.  </w:t>
      </w:r>
    </w:p>
    <w:p w14:paraId="400E4B61" w14:textId="77777777" w:rsidR="00F41F61" w:rsidRPr="00706A93" w:rsidRDefault="00F41F61" w:rsidP="00F41F61">
      <w:pPr>
        <w:pStyle w:val="corpo"/>
        <w:rPr>
          <w:bCs/>
          <w:szCs w:val="24"/>
        </w:rPr>
      </w:pPr>
      <w:r w:rsidRPr="00706A93">
        <w:rPr>
          <w:bCs/>
          <w:szCs w:val="24"/>
        </w:rPr>
        <w:t>Destarte, como fruto da biotecnologia, e tratando-se de uma das técnicas de reprodução assistida, a gestação por outrem terá a determinação da filiação enquadrada no novo conceito corrente, ou seja, desvinculado do aspecto biológico. Importante destacar as lições de Guilherme Calmon:</w:t>
      </w:r>
    </w:p>
    <w:p w14:paraId="7F6EB03C" w14:textId="77777777" w:rsidR="00F41F61" w:rsidRDefault="00F41F61" w:rsidP="00F41F61">
      <w:pPr>
        <w:rPr>
          <w:rFonts w:cs="Times New Roman"/>
          <w:bCs/>
          <w:sz w:val="28"/>
          <w:szCs w:val="28"/>
        </w:rPr>
      </w:pPr>
    </w:p>
    <w:p w14:paraId="546BF27E" w14:textId="2ADFA877" w:rsidR="00F41F61" w:rsidRDefault="00F41F61" w:rsidP="00F41F61">
      <w:pPr>
        <w:pStyle w:val="SemEspaamento"/>
      </w:pPr>
      <w:r>
        <w:t xml:space="preserve">Como visto, todo o sistema jurídico de paternidade, maternidade e filiação se assentou no pressuposto fático da conjunção carnal como sendo o fato gerador dos vínculos de parentalidade-filiação e, assim, inexistindo tal pressuposto-fático, ficam abalados os demais fatos jurídicos que ensejaram a construção dos modelos clássicos (ou tradicionais) de parentesco decorrente da procriação carnal. Assim, a gravidez e o parto perdem a importância que lhes era conferida pela legislação, ao menos no campo da procriação assistida e, nesse sentido, é </w:t>
      </w:r>
      <w:proofErr w:type="gramStart"/>
      <w:r>
        <w:t>a</w:t>
      </w:r>
      <w:proofErr w:type="gramEnd"/>
      <w:r>
        <w:t xml:space="preserve"> vontade o pressuposto mais importante, independentemente dela haver surgido intensa (ou não) durante a gravidez na outra mulher</w:t>
      </w:r>
      <w:r>
        <w:rPr>
          <w:rStyle w:val="Refdenotaderodap"/>
        </w:rPr>
        <w:footnoteReference w:id="87"/>
      </w:r>
      <w:r>
        <w:t>.</w:t>
      </w:r>
    </w:p>
    <w:p w14:paraId="4C42BFFD" w14:textId="77777777" w:rsidR="00F41F61" w:rsidRDefault="00F41F61" w:rsidP="00F41F61">
      <w:pPr>
        <w:pStyle w:val="SemEspaamento"/>
        <w:spacing w:line="360" w:lineRule="auto"/>
      </w:pPr>
      <w:r>
        <w:t xml:space="preserve">  </w:t>
      </w:r>
    </w:p>
    <w:p w14:paraId="37CC1C2F" w14:textId="731C7D2D" w:rsidR="00F41F61" w:rsidRPr="000351BF" w:rsidRDefault="00F41F61" w:rsidP="00F41F61">
      <w:pPr>
        <w:pStyle w:val="corpo"/>
      </w:pPr>
      <w:r w:rsidRPr="000351BF">
        <w:t>É válido ressaltar que</w:t>
      </w:r>
      <w:r w:rsidR="009E7F72">
        <w:t>,</w:t>
      </w:r>
      <w:r w:rsidRPr="000351BF">
        <w:t xml:space="preserve"> quanto ao pai persiste</w:t>
      </w:r>
      <w:r w:rsidR="00DA5F94">
        <w:t xml:space="preserve"> </w:t>
      </w:r>
      <w:r w:rsidRPr="000351BF">
        <w:t xml:space="preserve">a possibilidade de participação de doador anônimo, devendo prevalecer os conceitos concernentes à fertilização </w:t>
      </w:r>
      <w:r w:rsidRPr="000351BF">
        <w:rPr>
          <w:i/>
        </w:rPr>
        <w:t>in vitro</w:t>
      </w:r>
      <w:r w:rsidRPr="000351BF">
        <w:t xml:space="preserve"> heteróloga, determinando-se a paternidade conforme vontade expressa na autorização de realização do procedimento que se constitui numa exteriorização do projeto parental, eliminando o vínculo genético e prevalecendo o princípio do anonimato quanto ao doador do sêmen.</w:t>
      </w:r>
    </w:p>
    <w:p w14:paraId="2C6217A9" w14:textId="2E0B1F7E" w:rsidR="00F41F61" w:rsidRPr="000351BF" w:rsidRDefault="00F41F61" w:rsidP="00F41F61">
      <w:pPr>
        <w:pStyle w:val="corpo"/>
      </w:pPr>
      <w:r w:rsidRPr="000351BF">
        <w:t>Assim, a presunção d</w:t>
      </w:r>
      <w:r w:rsidR="00656B19">
        <w:t>e</w:t>
      </w:r>
      <w:r w:rsidRPr="000351BF">
        <w:t xml:space="preserve"> </w:t>
      </w:r>
      <w:r w:rsidR="00DA5F94">
        <w:t>maternidade</w:t>
      </w:r>
      <w:r w:rsidR="00656B19">
        <w:t xml:space="preserve"> e paternidade</w:t>
      </w:r>
      <w:r w:rsidRPr="000351BF">
        <w:t xml:space="preserve"> não se</w:t>
      </w:r>
      <w:r w:rsidR="00DA5F94">
        <w:t>rá</w:t>
      </w:r>
      <w:r w:rsidRPr="000351BF">
        <w:t xml:space="preserve"> aplicável à gestante</w:t>
      </w:r>
      <w:r w:rsidR="00DA5F94">
        <w:t xml:space="preserve"> e seu marido</w:t>
      </w:r>
      <w:r w:rsidRPr="000351BF">
        <w:t xml:space="preserve">, que não </w:t>
      </w:r>
      <w:r w:rsidR="00DA5F94">
        <w:t xml:space="preserve">serão </w:t>
      </w:r>
      <w:r w:rsidRPr="000351BF">
        <w:t>considerad</w:t>
      </w:r>
      <w:r w:rsidR="00DA5F94">
        <w:t>os pai e</w:t>
      </w:r>
      <w:r w:rsidRPr="000351BF">
        <w:t xml:space="preserve"> mãe</w:t>
      </w:r>
      <w:r w:rsidR="00DA5F94">
        <w:t>. No entanto</w:t>
      </w:r>
      <w:r w:rsidRPr="000351BF">
        <w:t xml:space="preserve">, </w:t>
      </w:r>
      <w:r w:rsidR="00DA5F94">
        <w:t xml:space="preserve">a presunção </w:t>
      </w:r>
      <w:r w:rsidRPr="000351BF">
        <w:t xml:space="preserve">é absolutamente eficaz para o casal autor do projeto parental, tendo em vista que o desejo de constituir família envolve tanto a mulher impossibilitada de </w:t>
      </w:r>
      <w:r w:rsidR="00DA5F94">
        <w:t>manter</w:t>
      </w:r>
      <w:r w:rsidRPr="000351BF">
        <w:t xml:space="preserve"> a gravidez, como o homem, infértil ou não</w:t>
      </w:r>
      <w:r w:rsidR="00EE65F4">
        <w:t>.</w:t>
      </w:r>
    </w:p>
    <w:p w14:paraId="4A32670A" w14:textId="77777777" w:rsidR="00F41F61" w:rsidRDefault="00F41F61" w:rsidP="00F41F61">
      <w:pPr>
        <w:pStyle w:val="corpo"/>
      </w:pPr>
      <w:r w:rsidRPr="000351BF">
        <w:t>Nesse aspecto, é necessária a manifestação de vontade de cada um dos cônjuges-companheiros para a procriação por meio da gestação por outrem, pois o arrependimento não terá o condão de afastar a paternidade do marido/companheiro, ainda que não seja ele o doador do sêmen, salvo se provar que a fecundação decorreu de vício de consentimento</w:t>
      </w:r>
      <w:r w:rsidRPr="000351BF">
        <w:rPr>
          <w:rStyle w:val="Refdenotaderodap"/>
          <w:bCs/>
          <w:szCs w:val="24"/>
        </w:rPr>
        <w:footnoteReference w:id="88"/>
      </w:r>
      <w:r w:rsidRPr="000351BF">
        <w:t>.</w:t>
      </w:r>
    </w:p>
    <w:p w14:paraId="0AA7D0C3" w14:textId="77777777" w:rsidR="00BD2CEB" w:rsidRDefault="00D35E47" w:rsidP="00F41F61">
      <w:pPr>
        <w:pStyle w:val="corpo"/>
      </w:pPr>
      <w:r>
        <w:t>Já em Portugal, atualmente, há uma grande discussão acerca da inconstitucionalidade da Lei n° 32/2006, principalmente quanto às gestações de substituição</w:t>
      </w:r>
      <w:r w:rsidR="00C568EA">
        <w:t xml:space="preserve">. Em 2018, houve a publicação do Acórdão do Tribunal Constitucional n° 225/2018, em que declara a inconstitucionalidade, com força obrigatória geral, de alguns artigos da mencionada lei, em razão da violação de princípios como a dignidade da pessoa humana, do dever do Estado de proteção da infância, da igualdade, da proporcionalidade, entre outros. </w:t>
      </w:r>
    </w:p>
    <w:p w14:paraId="6300926B" w14:textId="77777777" w:rsidR="00D35E47" w:rsidRDefault="00BD2CEB" w:rsidP="00F41F61">
      <w:pPr>
        <w:pStyle w:val="corpo"/>
      </w:pPr>
      <w:r>
        <w:t>N</w:t>
      </w:r>
      <w:r w:rsidR="00D35E47">
        <w:t>o que tange à</w:t>
      </w:r>
      <w:r>
        <w:t xml:space="preserve"> gestação de substituição, referido acórdão</w:t>
      </w:r>
      <w:r w:rsidR="00363103">
        <w:t xml:space="preserve"> deixa claro que a irrevogabilidade do consentimento da gestante após o início dos processos terapêuticos de PMA, conforme preceitua o artigo 14, n° 4 e 5, da Lei n° 32/2006, deve ser declarado inconstitucional. A lei preceitua a </w:t>
      </w:r>
      <w:r w:rsidR="00D35E47">
        <w:t xml:space="preserve">impossibilidade de se permitir a revogabilidade do consentimento da gestante </w:t>
      </w:r>
      <w:r w:rsidR="00363103">
        <w:t>após o início do processo terapêutico de gestação de substituição. No entanto, o acórdão entende que a Lei de PMA deve ser alterada, a fim de se permitir que o consentimento pode ser revogado pela gestante de substituição em qualquer momento até o in</w:t>
      </w:r>
      <w:r w:rsidR="00123DF5">
        <w:t>í</w:t>
      </w:r>
      <w:r w:rsidR="00363103">
        <w:t>cio do parto</w:t>
      </w:r>
      <w:r w:rsidR="00E76E57">
        <w:t xml:space="preserve">. </w:t>
      </w:r>
      <w:r w:rsidR="003F0A4E">
        <w:t>Nesse caso</w:t>
      </w:r>
      <w:r w:rsidR="00E76E57">
        <w:t>, a criança deverá ser considerada filha da parturiente.</w:t>
      </w:r>
      <w:r w:rsidR="00363103">
        <w:t xml:space="preserve">  </w:t>
      </w:r>
    </w:p>
    <w:p w14:paraId="27FDFAF3" w14:textId="77777777" w:rsidR="006359FF" w:rsidRPr="000351BF" w:rsidRDefault="006359FF" w:rsidP="00F41F61">
      <w:pPr>
        <w:pStyle w:val="corpo"/>
      </w:pPr>
      <w:r>
        <w:t>Ademais, o acórdão do Tribunal Constitucional defende o pleno direito da futura criança gerada através do procedimento de gestação de substituição, de conhecer as condições em que foi gerada, em razão da proteção ao direito à identidade pessoal, ao desenvolvimento da personalidade e à identidade genética.</w:t>
      </w:r>
    </w:p>
    <w:p w14:paraId="5590FB37" w14:textId="77777777" w:rsidR="00367433" w:rsidRPr="00B649C4" w:rsidRDefault="00B649C4" w:rsidP="00367433">
      <w:pPr>
        <w:rPr>
          <w:b w:val="0"/>
          <w:bCs/>
        </w:rPr>
      </w:pPr>
      <w:r w:rsidRPr="00B649C4">
        <w:rPr>
          <w:b w:val="0"/>
          <w:bCs/>
        </w:rPr>
        <w:t>Em que pese a publicação do Acórdão n° 225/2018, pelo Tribunal Constitucional em maio de 2018, a Lei n</w:t>
      </w:r>
      <w:r w:rsidRPr="00B649C4">
        <w:rPr>
          <w:rFonts w:cs="Times New Roman"/>
          <w:b w:val="0"/>
          <w:bCs/>
        </w:rPr>
        <w:t>°</w:t>
      </w:r>
      <w:r w:rsidRPr="00B649C4">
        <w:rPr>
          <w:b w:val="0"/>
          <w:bCs/>
        </w:rPr>
        <w:t xml:space="preserve"> 32/2006</w:t>
      </w:r>
      <w:r w:rsidR="0077303F">
        <w:rPr>
          <w:b w:val="0"/>
          <w:bCs/>
        </w:rPr>
        <w:t xml:space="preserve">, por enquanto, </w:t>
      </w:r>
      <w:r w:rsidRPr="00B649C4">
        <w:rPr>
          <w:b w:val="0"/>
          <w:bCs/>
        </w:rPr>
        <w:t>continua sem as alterações mencionadas no referido acórdão.</w:t>
      </w:r>
    </w:p>
    <w:p w14:paraId="36025D00" w14:textId="77777777" w:rsidR="00B649C4" w:rsidRDefault="00B649C4" w:rsidP="00367433"/>
    <w:p w14:paraId="13B691AF" w14:textId="77777777" w:rsidR="00367433" w:rsidRDefault="00367433" w:rsidP="00367433">
      <w:pPr>
        <w:pStyle w:val="Ttulo3"/>
        <w:rPr>
          <w:b/>
          <w:bCs/>
        </w:rPr>
      </w:pPr>
      <w:bookmarkStart w:id="34" w:name="_Toc28034655"/>
      <w:r w:rsidRPr="00367433">
        <w:rPr>
          <w:b/>
          <w:bCs/>
        </w:rPr>
        <w:t>Da Posse do estado de filho</w:t>
      </w:r>
      <w:bookmarkEnd w:id="34"/>
    </w:p>
    <w:p w14:paraId="5DFFA164" w14:textId="77777777" w:rsidR="00FE0EDE" w:rsidRDefault="00FE0EDE" w:rsidP="00FE0EDE"/>
    <w:p w14:paraId="32DF69B9" w14:textId="77777777" w:rsidR="00FE0EDE" w:rsidRDefault="00FE0EDE" w:rsidP="00FE0EDE">
      <w:pPr>
        <w:pStyle w:val="corpo"/>
      </w:pPr>
      <w:r>
        <w:t>O estado de filiação é a conexão formada entre o filho e a pessoa que assume as responsabilidades de alimentação, educação, lazer, cultura, dignidade, saúde, entre outros. Assim, o estado de filiação consiste na conceituação jurídica dessa relação de parentesco, englobando um complexo de direitos e deveres mutuamente considerados.</w:t>
      </w:r>
    </w:p>
    <w:p w14:paraId="3FE7A35E" w14:textId="0E14459B" w:rsidR="00FE0EDE" w:rsidRDefault="00FE0EDE" w:rsidP="00FE0EDE">
      <w:pPr>
        <w:pStyle w:val="corpo"/>
      </w:pPr>
      <w:r>
        <w:t>A reciprocidade compõe o estado de filiação: o filho é titular do estado de filiação, assim como o pai/mãe é titular do estado de paternidade</w:t>
      </w:r>
      <w:r w:rsidR="00406BDE">
        <w:t>/maternidade</w:t>
      </w:r>
      <w:r>
        <w:t xml:space="preserve"> em relação a esse filho. Jose Bernardo Ramos </w:t>
      </w:r>
      <w:proofErr w:type="spellStart"/>
      <w:r>
        <w:t>Boeira</w:t>
      </w:r>
      <w:proofErr w:type="spellEnd"/>
      <w:r>
        <w:t xml:space="preserve"> conceitua posse de estado de filho como uma relação íntima, duradoura, proveniente de uma relação afetiva paterno-filial, em que há o chamamento de filho e aceitação do chamamento de pai</w:t>
      </w:r>
      <w:r>
        <w:rPr>
          <w:rStyle w:val="Refdenotaderodap"/>
          <w:bCs/>
          <w:szCs w:val="24"/>
        </w:rPr>
        <w:footnoteReference w:id="89"/>
      </w:r>
      <w:r>
        <w:t xml:space="preserve">. </w:t>
      </w:r>
    </w:p>
    <w:p w14:paraId="347319BA" w14:textId="77777777" w:rsidR="00FE0EDE" w:rsidRDefault="00FE0EDE" w:rsidP="00FE0EDE">
      <w:pPr>
        <w:pStyle w:val="corpo"/>
      </w:pPr>
      <w:r>
        <w:t>Um fato determinante é que a posse de estado de filho não se origina do nascimento, mas de um ato de vontade que se solidifica no campo da afetividade, pondo em dúvida a verdade jurídica, assim como a certeza científica no estabelecimento da filiação. Importante trazer a posição conceitual de Orlando Gomes</w:t>
      </w:r>
      <w:r>
        <w:rPr>
          <w:rStyle w:val="Refdenotaderodap"/>
          <w:bCs/>
          <w:szCs w:val="24"/>
        </w:rPr>
        <w:footnoteReference w:id="90"/>
      </w:r>
      <w:r>
        <w:t xml:space="preserve"> que nos ensina que posse do estado de filho se forma por um aglomerado de circunstâncias que exteriorizam a condição de filho legítimo do casal que educa e cria.</w:t>
      </w:r>
    </w:p>
    <w:p w14:paraId="3EAEC079" w14:textId="77777777" w:rsidR="00FE0EDE" w:rsidRDefault="00FE0EDE" w:rsidP="00FE0EDE">
      <w:pPr>
        <w:pStyle w:val="corpo"/>
      </w:pPr>
      <w:r>
        <w:t>Na mesma seara Zeno Veloso</w:t>
      </w:r>
      <w:r>
        <w:rPr>
          <w:rStyle w:val="Refdenotaderodap"/>
          <w:bCs/>
          <w:szCs w:val="24"/>
        </w:rPr>
        <w:footnoteReference w:id="91"/>
      </w:r>
      <w:r>
        <w:t xml:space="preserve"> traz uma definição baseada no artigo 270 do Código Civil italiano, pelo qual posse de estado de filho resulta de vários fatores que constituem grave indício das relações de filiação entre uma pessoa e aquela à qual a filiação </w:t>
      </w:r>
      <w:r w:rsidR="006741C9">
        <w:t>é</w:t>
      </w:r>
      <w:r>
        <w:t xml:space="preserve"> atribuída. Para a caracterização da posse do estado de filho, a doutrina determina alguns elementos constitutivos que devem estar presentes no reconhecimento da filiação socioafetiva de forma pública, notória e contínua, a fim de garantir a segurança jurídica. Nesse sentido é a posição de Luiz Edson Fachin</w:t>
      </w:r>
      <w:r>
        <w:rPr>
          <w:rStyle w:val="Refdenotaderodap"/>
          <w:bCs/>
          <w:szCs w:val="24"/>
        </w:rPr>
        <w:footnoteReference w:id="92"/>
      </w:r>
      <w:r>
        <w:t>:</w:t>
      </w:r>
    </w:p>
    <w:p w14:paraId="511ABBDF" w14:textId="77777777" w:rsidR="00FE0EDE" w:rsidRDefault="00FE0EDE" w:rsidP="00FE0EDE">
      <w:pPr>
        <w:rPr>
          <w:rFonts w:cs="Times New Roman"/>
          <w:bCs/>
        </w:rPr>
      </w:pPr>
    </w:p>
    <w:p w14:paraId="09A632A8" w14:textId="0D4C8281" w:rsidR="00FE0EDE" w:rsidRPr="000351BF" w:rsidRDefault="00FE0EDE" w:rsidP="00FE0EDE">
      <w:pPr>
        <w:pStyle w:val="SemEspaamento"/>
      </w:pPr>
      <w:r>
        <w:t>O instituto de que está a tratar, para a sua caracterização exige que estejam presentes, no caso concreto certas qualidades, que ofereçam segurança na afirmação da posse de estado. Há que existir notoriedade do estado de filho, ou seja, a posse de estado deve ser objetivamente visível no ambiente social. Outra qualidade necessária é a continuidade, ou seja, deve apresentar-se uma certa duração que revele estabilidade. Por derradeiro, esses fatos notórios e contínuos não devem gerar equívocos acerca da filiação</w:t>
      </w:r>
      <w:r w:rsidR="00512D8E">
        <w:t>.</w:t>
      </w:r>
      <w:r>
        <w:t xml:space="preserve">  </w:t>
      </w:r>
    </w:p>
    <w:p w14:paraId="47F205F0" w14:textId="77777777" w:rsidR="00FE0EDE" w:rsidRDefault="00FE0EDE" w:rsidP="00FE0EDE">
      <w:pPr>
        <w:rPr>
          <w:rFonts w:cs="Times New Roman"/>
          <w:bCs/>
          <w:sz w:val="28"/>
          <w:szCs w:val="28"/>
        </w:rPr>
      </w:pPr>
    </w:p>
    <w:p w14:paraId="2ADA96CA" w14:textId="77777777" w:rsidR="00FE0EDE" w:rsidRDefault="00FE0EDE" w:rsidP="00FE0EDE">
      <w:pPr>
        <w:pStyle w:val="corpo"/>
      </w:pPr>
      <w:r w:rsidRPr="00914D04">
        <w:t xml:space="preserve">Os elementos </w:t>
      </w:r>
      <w:r>
        <w:t xml:space="preserve">constitutivos da posse do estado de filho são denominados pela doutrina como </w:t>
      </w:r>
      <w:proofErr w:type="spellStart"/>
      <w:r w:rsidRPr="00914D04">
        <w:rPr>
          <w:i/>
        </w:rPr>
        <w:t>tractatus</w:t>
      </w:r>
      <w:proofErr w:type="spellEnd"/>
      <w:r w:rsidRPr="00914D04">
        <w:rPr>
          <w:i/>
        </w:rPr>
        <w:t xml:space="preserve">, </w:t>
      </w:r>
      <w:proofErr w:type="spellStart"/>
      <w:r w:rsidRPr="00914D04">
        <w:rPr>
          <w:i/>
        </w:rPr>
        <w:t>nominatio</w:t>
      </w:r>
      <w:proofErr w:type="spellEnd"/>
      <w:r w:rsidRPr="00914D04">
        <w:rPr>
          <w:i/>
        </w:rPr>
        <w:t xml:space="preserve"> e </w:t>
      </w:r>
      <w:proofErr w:type="spellStart"/>
      <w:r w:rsidRPr="00914D04">
        <w:rPr>
          <w:i/>
        </w:rPr>
        <w:t>reputatio</w:t>
      </w:r>
      <w:proofErr w:type="spellEnd"/>
      <w:r w:rsidRPr="00914D04">
        <w:rPr>
          <w:i/>
        </w:rPr>
        <w:t>.</w:t>
      </w:r>
      <w:r>
        <w:t xml:space="preserve"> </w:t>
      </w:r>
      <w:r w:rsidRPr="00E66004">
        <w:rPr>
          <w:i/>
        </w:rPr>
        <w:t>Tractatus</w:t>
      </w:r>
      <w:r>
        <w:t xml:space="preserve"> é o elemento que demonstra que o filho é tratado como tal, criado, educado e apresentado como filho pelo pai e pela mãe. </w:t>
      </w:r>
      <w:proofErr w:type="spellStart"/>
      <w:r w:rsidRPr="003C4DA4">
        <w:rPr>
          <w:i/>
        </w:rPr>
        <w:t>Nominatio</w:t>
      </w:r>
      <w:proofErr w:type="spellEnd"/>
      <w:r>
        <w:t xml:space="preserve"> corresponde a usar o nome da família e assim se apresentar. E </w:t>
      </w:r>
      <w:proofErr w:type="spellStart"/>
      <w:r w:rsidRPr="007C5DEA">
        <w:rPr>
          <w:i/>
          <w:iCs/>
        </w:rPr>
        <w:t>r</w:t>
      </w:r>
      <w:r w:rsidRPr="003C4DA4">
        <w:rPr>
          <w:i/>
        </w:rPr>
        <w:t>eputatio</w:t>
      </w:r>
      <w:proofErr w:type="spellEnd"/>
      <w:r>
        <w:t xml:space="preserve"> refere-se ao conhecimento pela opinião pública a uma determinada pessoa como pertencente à família de seus pais.</w:t>
      </w:r>
    </w:p>
    <w:p w14:paraId="1ED78B9E" w14:textId="77777777" w:rsidR="00FE0EDE" w:rsidRDefault="00FE0EDE" w:rsidP="00FE0EDE">
      <w:pPr>
        <w:pStyle w:val="corpo"/>
      </w:pPr>
      <w:r>
        <w:t>Para uma parte da doutrina, o requisito “nome” é dispensável, sendo satisfatória apenas a comprovação do tratamento e da fama, uma vez que os filhos são reconhecidos, em geral, por seu prenome.</w:t>
      </w:r>
    </w:p>
    <w:p w14:paraId="4E13E3C5" w14:textId="77777777" w:rsidR="00FE0EDE" w:rsidRDefault="00FE0EDE" w:rsidP="00FE0EDE">
      <w:pPr>
        <w:pStyle w:val="corpo"/>
      </w:pPr>
      <w:r>
        <w:t xml:space="preserve">A “fama” é o elemento primordial dentre os requisitos, pois propala a conduta dispensada ao filho, assegurando-lhe a indispensável sobrevivência, além de que a “fama” é vista pela sociedade como uma genuína notoriedade. Jorge </w:t>
      </w:r>
      <w:proofErr w:type="spellStart"/>
      <w:r>
        <w:t>Shiguemitsu</w:t>
      </w:r>
      <w:proofErr w:type="spellEnd"/>
      <w:r>
        <w:t xml:space="preserve"> Fujita</w:t>
      </w:r>
      <w:r>
        <w:rPr>
          <w:rStyle w:val="Refdenotaderodap"/>
          <w:bCs/>
          <w:szCs w:val="24"/>
        </w:rPr>
        <w:footnoteReference w:id="93"/>
      </w:r>
      <w:r>
        <w:t xml:space="preserve"> define </w:t>
      </w:r>
      <w:r w:rsidR="006741C9">
        <w:t xml:space="preserve">que </w:t>
      </w:r>
      <w:r>
        <w:t>a posse do estado de filho se forma pela demonstração diuturna e contínua da convivência harmoniosa dentro da comunidade familiar, através das demonstrações afetivas e exercício dos direitos e deveres provenientes do poder familiar.</w:t>
      </w:r>
    </w:p>
    <w:p w14:paraId="6C15DF52" w14:textId="77777777" w:rsidR="00FE0EDE" w:rsidRDefault="00FE0EDE" w:rsidP="00FE0EDE">
      <w:pPr>
        <w:pStyle w:val="corpo"/>
      </w:pPr>
      <w:r>
        <w:t xml:space="preserve">Em relação ao prazo, Belmiro Pedro </w:t>
      </w:r>
      <w:proofErr w:type="spellStart"/>
      <w:r>
        <w:t>Welter</w:t>
      </w:r>
      <w:proofErr w:type="spellEnd"/>
      <w:r>
        <w:rPr>
          <w:rStyle w:val="Refdenotaderodap"/>
          <w:bCs/>
          <w:szCs w:val="24"/>
        </w:rPr>
        <w:footnoteReference w:id="94"/>
      </w:r>
      <w:r>
        <w:t xml:space="preserve"> se posiciona mencionando que não é correto o legislador estabelecer lapso temporal para se caracterizar a paternidade/maternidade na posse do estado de filho, pois estaria assim ocultando e não revelando a verdadeira filiação que apenas pode ser confirmada na singularidade do caso concreto. Obedecer a esses requisitos essenciais é de extrema importância para conservar a segurança jurídica das relações sociais.</w:t>
      </w:r>
    </w:p>
    <w:p w14:paraId="1E253611" w14:textId="77777777" w:rsidR="00CE22AB" w:rsidRDefault="00CE22AB" w:rsidP="00FE0EDE">
      <w:pPr>
        <w:pStyle w:val="corpo"/>
      </w:pPr>
    </w:p>
    <w:p w14:paraId="1497E599" w14:textId="77777777" w:rsidR="00CE22AB" w:rsidRDefault="00CE22AB" w:rsidP="00FE0EDE">
      <w:pPr>
        <w:pStyle w:val="corpo"/>
      </w:pPr>
    </w:p>
    <w:p w14:paraId="224FD3A2" w14:textId="77777777" w:rsidR="00CE22AB" w:rsidRDefault="00CE22AB" w:rsidP="00FE0EDE">
      <w:pPr>
        <w:pStyle w:val="corpo"/>
      </w:pPr>
    </w:p>
    <w:p w14:paraId="6B76B867" w14:textId="77777777" w:rsidR="00CE22AB" w:rsidRDefault="00CE22AB" w:rsidP="00FE0EDE">
      <w:pPr>
        <w:pStyle w:val="corpo"/>
      </w:pPr>
    </w:p>
    <w:p w14:paraId="448D3D5B" w14:textId="77777777" w:rsidR="00CE22AB" w:rsidRDefault="00CE22AB">
      <w:pPr>
        <w:spacing w:after="160" w:line="259" w:lineRule="auto"/>
        <w:ind w:firstLine="0"/>
        <w:jc w:val="left"/>
        <w:rPr>
          <w:rFonts w:cs="Times New Roman"/>
          <w:b w:val="0"/>
          <w:szCs w:val="22"/>
        </w:rPr>
      </w:pPr>
      <w:r>
        <w:br w:type="page"/>
      </w:r>
    </w:p>
    <w:p w14:paraId="7977A24C" w14:textId="77777777" w:rsidR="00367433" w:rsidRDefault="00367433" w:rsidP="004B07D3">
      <w:pPr>
        <w:pStyle w:val="Ttulo1"/>
        <w:ind w:left="0" w:firstLine="0"/>
        <w:rPr>
          <w:szCs w:val="24"/>
        </w:rPr>
      </w:pPr>
      <w:bookmarkStart w:id="35" w:name="_Toc453718628"/>
      <w:bookmarkStart w:id="36" w:name="_Toc453724542"/>
      <w:bookmarkStart w:id="37" w:name="_Toc453781231"/>
      <w:bookmarkStart w:id="38" w:name="_Toc453793951"/>
      <w:bookmarkStart w:id="39" w:name="_Toc453808477"/>
      <w:bookmarkStart w:id="40" w:name="_Toc453811462"/>
      <w:bookmarkStart w:id="41" w:name="_Toc453811727"/>
      <w:bookmarkStart w:id="42" w:name="_Toc471323258"/>
      <w:bookmarkStart w:id="43" w:name="_Toc471323353"/>
      <w:bookmarkStart w:id="44" w:name="_Toc471331156"/>
      <w:bookmarkStart w:id="45" w:name="_Toc472898742"/>
      <w:bookmarkStart w:id="46" w:name="_Toc472899441"/>
      <w:bookmarkStart w:id="47" w:name="_Toc490582054"/>
      <w:bookmarkStart w:id="48" w:name="_Toc490583830"/>
      <w:bookmarkStart w:id="49" w:name="_Toc453718629"/>
      <w:bookmarkStart w:id="50" w:name="_Toc453724543"/>
      <w:bookmarkStart w:id="51" w:name="_Toc453781232"/>
      <w:bookmarkStart w:id="52" w:name="_Toc453793952"/>
      <w:bookmarkStart w:id="53" w:name="_Toc453808478"/>
      <w:bookmarkStart w:id="54" w:name="_Toc453811463"/>
      <w:bookmarkStart w:id="55" w:name="_Toc453811728"/>
      <w:bookmarkStart w:id="56" w:name="_Toc471323259"/>
      <w:bookmarkStart w:id="57" w:name="_Toc471323354"/>
      <w:bookmarkStart w:id="58" w:name="_Toc471331157"/>
      <w:bookmarkStart w:id="59" w:name="_Toc472898743"/>
      <w:bookmarkStart w:id="60" w:name="_Toc472899442"/>
      <w:bookmarkStart w:id="61" w:name="_Toc490582055"/>
      <w:bookmarkStart w:id="62" w:name="_Toc490583831"/>
      <w:bookmarkStart w:id="63" w:name="_Toc28034656"/>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r>
        <w:rPr>
          <w:szCs w:val="24"/>
        </w:rPr>
        <w:t>O RECONHECIMENTO DE FILHO</w:t>
      </w:r>
      <w:bookmarkEnd w:id="63"/>
    </w:p>
    <w:p w14:paraId="7D9A406E" w14:textId="77777777" w:rsidR="00EC0C16" w:rsidRDefault="00EC0C16" w:rsidP="00EC0C16"/>
    <w:p w14:paraId="21A6C1DC" w14:textId="77777777" w:rsidR="002B5C02" w:rsidRDefault="002B5C02" w:rsidP="002B5C02">
      <w:pPr>
        <w:pStyle w:val="corpo"/>
      </w:pPr>
      <w:r w:rsidRPr="00EE4C47">
        <w:t>O reconhecimento de filho é uma das formas de estabelecimento da paternidade, nos casos em que o filho foi concebido extramatrimonialmente</w:t>
      </w:r>
      <w:r>
        <w:t xml:space="preserve">. Estudaremos inicialmente as formas de estabelecimento de paternidade de uma forma ampla para depois adentrarmos no tema principal do trabalho que se refere ao reconhecimento de paternidade nos casos em que o pai não o fez no momento do registro de nascimento de seu filho. </w:t>
      </w:r>
    </w:p>
    <w:p w14:paraId="1567DF2E" w14:textId="77777777" w:rsidR="004B07D3" w:rsidRPr="00367433" w:rsidRDefault="004B07D3" w:rsidP="00367433">
      <w:pPr>
        <w:pStyle w:val="Ttulo1"/>
        <w:numPr>
          <w:ilvl w:val="0"/>
          <w:numId w:val="0"/>
        </w:numPr>
        <w:rPr>
          <w:b w:val="0"/>
          <w:color w:val="000000" w:themeColor="text1"/>
        </w:rPr>
      </w:pPr>
      <w:r w:rsidRPr="00367433">
        <w:rPr>
          <w:b w:val="0"/>
          <w:color w:val="000000" w:themeColor="text1"/>
        </w:rPr>
        <w:t xml:space="preserve">    </w:t>
      </w:r>
    </w:p>
    <w:p w14:paraId="4CE99B69" w14:textId="77777777" w:rsidR="004B07D3" w:rsidRDefault="00F24B14" w:rsidP="004B07D3">
      <w:pPr>
        <w:pStyle w:val="Ttulo2"/>
      </w:pPr>
      <w:bookmarkStart w:id="64" w:name="_Toc28034657"/>
      <w:r>
        <w:t>Formas de estabelecimento da paternidade</w:t>
      </w:r>
      <w:bookmarkEnd w:id="64"/>
    </w:p>
    <w:p w14:paraId="38FBF1B9" w14:textId="77777777" w:rsidR="00F24B14" w:rsidRDefault="00F24B14" w:rsidP="00F24B14"/>
    <w:p w14:paraId="3475133C" w14:textId="77777777" w:rsidR="00F24B14" w:rsidRDefault="00F24B14" w:rsidP="00F24B14">
      <w:pPr>
        <w:pStyle w:val="corpo"/>
      </w:pPr>
      <w:r>
        <w:t>A paternidade pode ser estabelecida de diversas formas, em razão de sua origem, que pode ser matrimonial ou extramatrimonial. No entanto, os efeitos do estabelecimento de paternidade serão os mesmos para os diversos casos, independentemente da forma como foi estabelecida.</w:t>
      </w:r>
    </w:p>
    <w:p w14:paraId="0A6FB426" w14:textId="77777777" w:rsidR="0007653D" w:rsidRDefault="0007653D" w:rsidP="0007653D"/>
    <w:p w14:paraId="7A5ED6FD" w14:textId="77777777" w:rsidR="0007653D" w:rsidRDefault="0007653D" w:rsidP="0007653D">
      <w:pPr>
        <w:pStyle w:val="Ttulo3"/>
        <w:rPr>
          <w:b/>
          <w:bCs/>
        </w:rPr>
      </w:pPr>
      <w:bookmarkStart w:id="65" w:name="_Toc28034658"/>
      <w:r w:rsidRPr="0007653D">
        <w:rPr>
          <w:b/>
          <w:bCs/>
        </w:rPr>
        <w:t>No Brasil</w:t>
      </w:r>
      <w:bookmarkEnd w:id="65"/>
    </w:p>
    <w:p w14:paraId="236AA92A" w14:textId="77777777" w:rsidR="001770F8" w:rsidRDefault="001770F8" w:rsidP="001770F8"/>
    <w:p w14:paraId="4DE87079" w14:textId="095654F8" w:rsidR="001770F8" w:rsidRDefault="001770F8" w:rsidP="001770F8">
      <w:pPr>
        <w:pStyle w:val="corpo"/>
      </w:pPr>
      <w:r>
        <w:t xml:space="preserve">No Brasil, a fixação da paternidade decorre de duas formas: pelo estabelecimento </w:t>
      </w:r>
      <w:r w:rsidR="00EC7D06">
        <w:t xml:space="preserve">quando </w:t>
      </w:r>
      <w:r>
        <w:t>do registro de nascimento</w:t>
      </w:r>
      <w:r w:rsidR="00EC7D06">
        <w:t xml:space="preserve"> do filho</w:t>
      </w:r>
      <w:r>
        <w:t xml:space="preserve"> e através do reconhecimento de paternidade em momento posterior. O estabelecimento da paternidade no momento do registro é realizado diretamente no Registro Civil das Pessoas Naturais pelo pai ou pela mãe ou por ambos. No caso do comparecimento apenas do pai em Cartório exige-se a apresentação do documento denominado DNV (declaração de nascido vivo), que é emitido, em regra, pelo profissional da saúde responsável pelo acompanhamento da gestação, do parto ou do recém-nascido. </w:t>
      </w:r>
    </w:p>
    <w:p w14:paraId="692F9EFB" w14:textId="24A5E262" w:rsidR="001770F8" w:rsidRDefault="001770F8" w:rsidP="001770F8">
      <w:pPr>
        <w:pStyle w:val="corpo"/>
      </w:pPr>
      <w:r>
        <w:t xml:space="preserve">Nesse caso, o pai pode comparecer sozinho ao Cartório, </w:t>
      </w:r>
      <w:r w:rsidR="00EC7D06">
        <w:t xml:space="preserve">na medida em que </w:t>
      </w:r>
      <w:r>
        <w:t>a pessoa que porta a DNV é um dos responsáveis pela criança, pois o estabelecimento de saúde só entrega esse documento ao responsável elencado por lei. Além disso, consta na DNV o nome</w:t>
      </w:r>
      <w:r w:rsidR="00FC4727">
        <w:t>,</w:t>
      </w:r>
      <w:r>
        <w:t xml:space="preserve"> prenome, naturalidade, profissão, endereço e residência da mãe e sua idade na ocasião do parto, de tal maneira que o oficial de registro estará apto a </w:t>
      </w:r>
      <w:r w:rsidR="00FC4727">
        <w:t>identificá-la</w:t>
      </w:r>
      <w:r>
        <w:t xml:space="preserve"> (artigo 4°, da Lei n° 12.662/2012). </w:t>
      </w:r>
    </w:p>
    <w:p w14:paraId="62F2F8E5" w14:textId="4649ACBC" w:rsidR="001770F8" w:rsidRDefault="00575619" w:rsidP="001770F8">
      <w:pPr>
        <w:pStyle w:val="corpo"/>
      </w:pPr>
      <w:r>
        <w:t>No entanto</w:t>
      </w:r>
      <w:r w:rsidR="001770F8">
        <w:t xml:space="preserve">, é de se ressaltar que a regra geral de que a mãe é sempre certa, tem exceções em razão das técnicas de reprodução assistida, mais especificamente a gestação de substituição, que está </w:t>
      </w:r>
      <w:r w:rsidR="00E61E5A">
        <w:t>prevista na</w:t>
      </w:r>
      <w:r w:rsidR="001770F8">
        <w:t xml:space="preserve"> Resolução n° 2168/2017, parte VII, do Conselho Federal de Medicina.   </w:t>
      </w:r>
    </w:p>
    <w:p w14:paraId="1E4350BF" w14:textId="5BCDA78D" w:rsidR="001770F8" w:rsidRDefault="001770F8" w:rsidP="001770F8">
      <w:pPr>
        <w:pStyle w:val="corpo"/>
      </w:pPr>
      <w:r>
        <w:t xml:space="preserve">Há a situação também do comparecimento do pai e da mãe em conjunto para realizarem o registro de nascimento de seu filho. É um caso em que há a necessidade de apresentação da DNV, </w:t>
      </w:r>
      <w:r w:rsidR="001F38A8">
        <w:t>bem como a confirmação do pai de que reconhece a paternidade em relação àquela criança</w:t>
      </w:r>
      <w:r>
        <w:t>. Caso os pais sejam casados, eles podem apresentar a certidão de casamento, a fim de demonstrar a presunção legal de paternidade. Entretanto, esse documento não é imprescindível, uma vez que o importante é a colheita do consentimento do pai quanto ao estabelecimento da paternidade.</w:t>
      </w:r>
    </w:p>
    <w:p w14:paraId="177D63EA" w14:textId="77777777" w:rsidR="001770F8" w:rsidRDefault="001770F8" w:rsidP="001770F8">
      <w:pPr>
        <w:pStyle w:val="corpo"/>
      </w:pPr>
      <w:r>
        <w:t xml:space="preserve">De outro modo, o registro de nascimento com o comparecimento apenas da mãe, na hipótese em que se quer estabelecer a paternidade, ocorre quando houver a presunção legal de paternidade ou no caso da mãe apresentar a declaração de reconhecimento ou anuência do pai à efetivação do registro, com a firma reconhecida do signatário. Na situação de haver presunção legal de paternidade deve-se comprovar a presunção com documento hábil, que geralmente é a certidão de casamento. </w:t>
      </w:r>
    </w:p>
    <w:p w14:paraId="406EC826" w14:textId="2A70611D" w:rsidR="001770F8" w:rsidRDefault="001770F8" w:rsidP="001770F8">
      <w:pPr>
        <w:pStyle w:val="corpo"/>
      </w:pPr>
      <w:r>
        <w:t>Assim, quanto ao estabelecimento da paternidade nos casos em que há presunção legal é importante ressaltar que a presunção está estabelecida no rol taxativo do artigo 1597</w:t>
      </w:r>
      <w:r>
        <w:rPr>
          <w:rStyle w:val="Refdenotaderodap"/>
          <w:szCs w:val="24"/>
        </w:rPr>
        <w:footnoteReference w:id="95"/>
      </w:r>
      <w:r>
        <w:t xml:space="preserve">, do Código Civil, e se materializa por documentos, sendo o principal a certidão de casamento. Nesse tipo de estabelecimento da paternidade, o assento de nascimento da criança pode ser realizado pela mãe ou pelo pai, já que eles são casados entre si. Necessário se faz a apresentação da prova do casamento dos pais, ou seja, a certidão atualizada de casamento, a fim de que se possa confirmar o vínculo matrimonial atual, e então, em razão da presunção </w:t>
      </w:r>
      <w:r w:rsidRPr="00ED43BE">
        <w:rPr>
          <w:i/>
          <w:iCs/>
        </w:rPr>
        <w:t xml:space="preserve">pater </w:t>
      </w:r>
      <w:proofErr w:type="spellStart"/>
      <w:r w:rsidRPr="00ED43BE">
        <w:rPr>
          <w:i/>
          <w:iCs/>
        </w:rPr>
        <w:t>is</w:t>
      </w:r>
      <w:proofErr w:type="spellEnd"/>
      <w:r w:rsidRPr="00ED43BE">
        <w:rPr>
          <w:i/>
          <w:iCs/>
        </w:rPr>
        <w:t xml:space="preserve"> est</w:t>
      </w:r>
      <w:r>
        <w:t xml:space="preserve"> estabelecer a paternidade da criança em nome do marido da mãe.</w:t>
      </w:r>
    </w:p>
    <w:p w14:paraId="75011FDC" w14:textId="0984A6C7" w:rsidR="001770F8" w:rsidRDefault="001770F8" w:rsidP="001770F8">
      <w:pPr>
        <w:pStyle w:val="corpo"/>
      </w:pPr>
      <w:r>
        <w:t xml:space="preserve">Nesses termos, podemos destacar que a presunção legal de paternidade do artigo 1.597, incisos I e II, do Código Civil baseia-se num critério temporal, já que utiliza os prazos de 180 dias e 300 dias para incluir ou excluir a possibilidade de o homem casado ser ou não pai da criança, em razão de um juízo de probabilidade baseado no fator biológico humano. </w:t>
      </w:r>
    </w:p>
    <w:p w14:paraId="473034C1" w14:textId="3B57A34C" w:rsidR="001770F8" w:rsidRDefault="001770F8" w:rsidP="001770F8">
      <w:pPr>
        <w:pStyle w:val="corpo"/>
      </w:pPr>
      <w:r>
        <w:t xml:space="preserve">O critério temporal determina a data aproximada da concepção, </w:t>
      </w:r>
      <w:r w:rsidR="00722DAD">
        <w:t xml:space="preserve">com </w:t>
      </w:r>
      <w:r>
        <w:t xml:space="preserve">base na data de nascimento da criança. Ao fixarmos a data provável da concepção teremos conhecimento se </w:t>
      </w:r>
      <w:proofErr w:type="spellStart"/>
      <w:r>
        <w:t>esta</w:t>
      </w:r>
      <w:proofErr w:type="spellEnd"/>
      <w:r>
        <w:t xml:space="preserve"> se deu durante a vigência do casamento ou não. Entretanto, como não </w:t>
      </w:r>
      <w:r w:rsidR="00722DAD">
        <w:t xml:space="preserve">é possível </w:t>
      </w:r>
      <w:r>
        <w:t xml:space="preserve">saber a data certa da concepção, o legislador trabalha com parâmetros biológicos que trazem o período médio de gestação humana. Nesses termos, o legislador considerou o período mínimo de gravidez para que o nascimento seja biologicamente viável o prazo de 180 dias, e o prazo máximo de gestação os 300 dias. </w:t>
      </w:r>
    </w:p>
    <w:p w14:paraId="1F64B771" w14:textId="77777777" w:rsidR="001770F8" w:rsidRDefault="001770F8" w:rsidP="001770F8">
      <w:pPr>
        <w:pStyle w:val="corpo"/>
      </w:pPr>
      <w:r>
        <w:t xml:space="preserve">Dentro dessa presunção legal, caso uma criança nasça a partir do 180° dia da celebração do casamento é provável que ela tenha sido concebida nos primeiros dias após o matrimônio. Mas, se ela nascer antes de completar 180 dias é mais provável que ela tenha sido concebida antes do casamento, pois de outra forma não teria atingido ainda o prazo mínimo para nascer com vida. </w:t>
      </w:r>
    </w:p>
    <w:p w14:paraId="75DE3008" w14:textId="639B9D94" w:rsidR="001770F8" w:rsidRDefault="001770F8" w:rsidP="001770F8">
      <w:pPr>
        <w:pStyle w:val="corpo"/>
      </w:pPr>
      <w:r>
        <w:t xml:space="preserve">Ademais, caso a criança nasça nos dez meses após a dissolução do vínculo matrimonial, há a probabilidade que ela tenha sido concebida nos últimos dias em que o casamento estava vigorando. </w:t>
      </w:r>
      <w:r w:rsidR="00722DAD">
        <w:t>Então</w:t>
      </w:r>
      <w:r>
        <w:t>, na hipótese de dissolução da sociedade conjugal, a lei presume a paternidade durante um prazo de até trezentos dias após a dissolução, que pode decorrer de morte, separação judicial, nulidade ou anulação de casamento.</w:t>
      </w:r>
    </w:p>
    <w:p w14:paraId="67E595C5" w14:textId="77777777" w:rsidR="001770F8" w:rsidRDefault="001770F8" w:rsidP="001770F8">
      <w:pPr>
        <w:pStyle w:val="corpo"/>
      </w:pPr>
      <w:r>
        <w:t xml:space="preserve">O segundo critério para a fixação da presunção </w:t>
      </w:r>
      <w:r w:rsidRPr="006D672D">
        <w:rPr>
          <w:i/>
          <w:iCs/>
        </w:rPr>
        <w:t xml:space="preserve">pater </w:t>
      </w:r>
      <w:proofErr w:type="spellStart"/>
      <w:r w:rsidRPr="006D672D">
        <w:rPr>
          <w:i/>
          <w:iCs/>
        </w:rPr>
        <w:t>is</w:t>
      </w:r>
      <w:proofErr w:type="spellEnd"/>
      <w:r>
        <w:rPr>
          <w:i/>
          <w:iCs/>
        </w:rPr>
        <w:t xml:space="preserve"> est</w:t>
      </w:r>
      <w:r>
        <w:t xml:space="preserve"> está relacionado com o biodireito, na medida em que faz frente às inovações tecnológicas que possibilita a realização da reprodução assistida. Essas hipóteses estão elencadas no artigo 1.597, incisos III a V, do Código Civil.</w:t>
      </w:r>
    </w:p>
    <w:p w14:paraId="6DAF91F0" w14:textId="77777777" w:rsidR="001770F8" w:rsidRDefault="001770F8" w:rsidP="001770F8">
      <w:pPr>
        <w:pStyle w:val="corpo"/>
      </w:pPr>
      <w:r>
        <w:t>O inciso III do artigo 1.597 do Código Civil brasileiro prevê o caso de filhos havidos por fecundação artificial homóloga, ou seja, derivado do material genético do casal, ainda que falecido o marido. Assim, na hipótese de pessoas casadas ou em união estável</w:t>
      </w:r>
      <w:r>
        <w:rPr>
          <w:rStyle w:val="Refdenotaderodap"/>
          <w:szCs w:val="24"/>
        </w:rPr>
        <w:footnoteReference w:id="96"/>
      </w:r>
      <w:r>
        <w:t xml:space="preserve"> realizarem técnicas de reprodução assistida com o próprio material genético, presume-se que a criança é filha do casal. Mesmo na hipótese de falecimento do marido, a presunção ainda permanece já que o material genético dele foi preservado. Nesse caso, é necessária autorização expressa do marido para a utilização de seu material genético para fins de inseminação artificial</w:t>
      </w:r>
      <w:r>
        <w:rPr>
          <w:rStyle w:val="Refdenotaderodap"/>
          <w:szCs w:val="24"/>
        </w:rPr>
        <w:footnoteReference w:id="97"/>
      </w:r>
      <w:r>
        <w:t xml:space="preserve">.    </w:t>
      </w:r>
    </w:p>
    <w:p w14:paraId="037E8932" w14:textId="77777777" w:rsidR="001770F8" w:rsidRDefault="001770F8" w:rsidP="001770F8">
      <w:pPr>
        <w:pStyle w:val="corpo"/>
        <w:rPr>
          <w:bCs/>
        </w:rPr>
      </w:pPr>
      <w:r>
        <w:rPr>
          <w:bCs/>
        </w:rPr>
        <w:t xml:space="preserve">No intuito de sanar a lacuna legislativa aos casos de reprodução assistida, em 2016, o Conselho Nacional de Justiça editou o Provimento n° 52, que normatizou os casos </w:t>
      </w:r>
      <w:r w:rsidRPr="00374047">
        <w:rPr>
          <w:bCs/>
        </w:rPr>
        <w:t xml:space="preserve">de </w:t>
      </w:r>
      <w:r>
        <w:rPr>
          <w:bCs/>
        </w:rPr>
        <w:t>técnicas de reprodução assistida</w:t>
      </w:r>
      <w:r w:rsidRPr="00374047">
        <w:rPr>
          <w:bCs/>
        </w:rPr>
        <w:t xml:space="preserve">, </w:t>
      </w:r>
      <w:r>
        <w:rPr>
          <w:bCs/>
        </w:rPr>
        <w:t>e</w:t>
      </w:r>
      <w:r w:rsidRPr="00374047">
        <w:rPr>
          <w:bCs/>
        </w:rPr>
        <w:t>stabelece</w:t>
      </w:r>
      <w:r>
        <w:rPr>
          <w:bCs/>
        </w:rPr>
        <w:t>ndo o</w:t>
      </w:r>
      <w:r w:rsidRPr="00374047">
        <w:rPr>
          <w:bCs/>
        </w:rPr>
        <w:t xml:space="preserve">s documentos </w:t>
      </w:r>
      <w:r>
        <w:rPr>
          <w:bCs/>
        </w:rPr>
        <w:t xml:space="preserve">necessários para o registro de crianças assim geradas, não pairando mais dúvidas quanto ao seu procedimento. Mencionado provimento em seu artigo 2°, § 3° determina que nas hipóteses de reprodução assistida </w:t>
      </w:r>
      <w:r w:rsidRPr="00CD7596">
        <w:rPr>
          <w:bCs/>
          <w:i/>
          <w:iCs/>
        </w:rPr>
        <w:t>post-mortem</w:t>
      </w:r>
      <w:r>
        <w:rPr>
          <w:bCs/>
        </w:rPr>
        <w:t xml:space="preserve"> é necessária a apresentação do termo de autorização prévia específica do falecido ou falecida para o uso do material biológico preservado, lavrado por instrumento público.</w:t>
      </w:r>
    </w:p>
    <w:p w14:paraId="2861F0F2" w14:textId="44D59686" w:rsidR="001770F8" w:rsidRDefault="001770F8" w:rsidP="001770F8">
      <w:pPr>
        <w:pStyle w:val="corpo"/>
        <w:rPr>
          <w:bCs/>
        </w:rPr>
      </w:pPr>
      <w:r>
        <w:rPr>
          <w:bCs/>
        </w:rPr>
        <w:t>Essa determinação está de acordo com as normas do Conselho Federal de Medicina, na medida em que estas também exigem dos pacientes que congelam seu material genético, a manifestação de vontade por escrito quanto ao destino desses materiais nos casos de divórcio, doenças graves e também de falecimento</w:t>
      </w:r>
      <w:r>
        <w:rPr>
          <w:rStyle w:val="Refdenotaderodap"/>
          <w:bCs/>
          <w:szCs w:val="24"/>
        </w:rPr>
        <w:footnoteReference w:id="98"/>
      </w:r>
      <w:r>
        <w:rPr>
          <w:bCs/>
        </w:rPr>
        <w:t>. Verifica-se uma inovação no provimento quando ele exige além da manifestação por escrito, a forma pública, para os casos de falecimento. Essa forma pública também é requisito para os termos de consentimento do doador, no caso de inseminação heteróloga</w:t>
      </w:r>
      <w:r w:rsidR="00ED6982">
        <w:rPr>
          <w:bCs/>
        </w:rPr>
        <w:t>, conforme artigo 2°, parágrafo 1°, I, do Provimento n° 52/2016, CNJ</w:t>
      </w:r>
      <w:r>
        <w:rPr>
          <w:bCs/>
        </w:rPr>
        <w:t xml:space="preserve">.   </w:t>
      </w:r>
    </w:p>
    <w:p w14:paraId="50654D14" w14:textId="77777777" w:rsidR="001770F8" w:rsidRDefault="001770F8" w:rsidP="001770F8">
      <w:pPr>
        <w:pStyle w:val="corpo"/>
        <w:rPr>
          <w:bCs/>
        </w:rPr>
      </w:pPr>
      <w:r>
        <w:rPr>
          <w:bCs/>
        </w:rPr>
        <w:t>Mais adiante, encontramos no artigo 1.597, inciso IV do Código Civil um outro caso de presunção legal de filhos havidos na constância do casamento: os embriões excedentários decorrentes de concepção artificial homóloga. Esse é a situação das concepções in vitro, já que só é possível existir embriões excedentários no caso da fecundação extracorpórea, pois ela permite a conservação dos embriões não utilizados.</w:t>
      </w:r>
    </w:p>
    <w:p w14:paraId="594AD7F3" w14:textId="77777777" w:rsidR="001770F8" w:rsidRDefault="001770F8" w:rsidP="001770F8">
      <w:pPr>
        <w:pStyle w:val="corpo"/>
        <w:rPr>
          <w:bCs/>
        </w:rPr>
      </w:pPr>
      <w:r>
        <w:rPr>
          <w:bCs/>
        </w:rPr>
        <w:t xml:space="preserve">Em relação à presunção de paternidade, o artigo 1.597, inciso IV do Código Civil estabelece que esses embriões, caso utilizados posteriormente e implantados no útero da mãe, atrairão a incidência da presunção </w:t>
      </w:r>
      <w:r w:rsidRPr="004634CE">
        <w:rPr>
          <w:bCs/>
          <w:i/>
          <w:iCs/>
        </w:rPr>
        <w:t xml:space="preserve">pater </w:t>
      </w:r>
      <w:proofErr w:type="spellStart"/>
      <w:r w:rsidRPr="004634CE">
        <w:rPr>
          <w:bCs/>
          <w:i/>
          <w:iCs/>
        </w:rPr>
        <w:t>is</w:t>
      </w:r>
      <w:proofErr w:type="spellEnd"/>
      <w:r w:rsidRPr="004634CE">
        <w:rPr>
          <w:bCs/>
          <w:i/>
          <w:iCs/>
        </w:rPr>
        <w:t xml:space="preserve"> est</w:t>
      </w:r>
      <w:r>
        <w:rPr>
          <w:bCs/>
        </w:rPr>
        <w:t>. Isso porque, mesmo que o embrião tenha sido implantado posteriormente, há a presunção de que a filiação é matrimonial, nos termos do artigo 1.597, inciso III, do Código Civil, em razão do material genético ser do casal.</w:t>
      </w:r>
    </w:p>
    <w:p w14:paraId="274B5D65" w14:textId="77777777" w:rsidR="001770F8" w:rsidRDefault="001770F8" w:rsidP="001770F8">
      <w:pPr>
        <w:pStyle w:val="corpo"/>
        <w:rPr>
          <w:bCs/>
        </w:rPr>
      </w:pPr>
      <w:r>
        <w:rPr>
          <w:bCs/>
        </w:rPr>
        <w:t xml:space="preserve">Por fim, temos o último caso de presunção legal previsto no inciso V do artigo 1.597 do Código Civil: os havidos por inseminação artificial heteróloga. Esta situação apresenta um fundamento distinto para o estabelecimento da filiação. É uma hipótese de fecundação heteróloga, que ocorre quando o material genético utilizado não pertence aos pais, podendo nem ser de qualquer um deles. Nesse caso, para que a mulher possa receber sêmen de um doador é necessária a autorização do marido. E, para que o óvulo de outra mulher possa ser fertilizado pelo sêmen do marido também é necessária anuência da esposa. Importante ressaltar que essas autorizações devem ser instrumentalizadas pela forma pública, nos termos do artigo 2°, § 1°, III, do Provimento n° 52/2016.     </w:t>
      </w:r>
    </w:p>
    <w:p w14:paraId="114AB68C" w14:textId="48167F36" w:rsidR="001770F8" w:rsidRDefault="001770F8" w:rsidP="001770F8">
      <w:pPr>
        <w:pStyle w:val="corpo"/>
        <w:rPr>
          <w:bCs/>
        </w:rPr>
      </w:pPr>
      <w:r>
        <w:rPr>
          <w:bCs/>
        </w:rPr>
        <w:t xml:space="preserve">O fundamento da presunção </w:t>
      </w:r>
      <w:r w:rsidR="00566331">
        <w:rPr>
          <w:bCs/>
        </w:rPr>
        <w:t xml:space="preserve">nos casos de </w:t>
      </w:r>
      <w:r>
        <w:rPr>
          <w:bCs/>
        </w:rPr>
        <w:t>fertilizações heterólogas não se baseia apenas na genética, pois o material utilizado não é de ambos os pais. O fundamento, em verdade, está baseado no ato de vontade dos pais em realizar a inseminação com material genético estranho ao seu. Assim, uma vez expressada a manifestação de vontade inequívoca do cônjuge em utilizar material genético que não o seu, presume-se que a concepção se deu em razão do casamento ou da união estável</w:t>
      </w:r>
      <w:r>
        <w:rPr>
          <w:rStyle w:val="Refdenotaderodap"/>
          <w:bCs/>
          <w:szCs w:val="24"/>
        </w:rPr>
        <w:footnoteReference w:id="99"/>
      </w:r>
      <w:r>
        <w:rPr>
          <w:bCs/>
        </w:rPr>
        <w:t xml:space="preserve">. Nesses termos, esse é o único caso em que incide a presunção </w:t>
      </w:r>
      <w:r w:rsidRPr="00837059">
        <w:rPr>
          <w:bCs/>
          <w:i/>
          <w:iCs/>
        </w:rPr>
        <w:t xml:space="preserve">pater </w:t>
      </w:r>
      <w:proofErr w:type="spellStart"/>
      <w:r w:rsidRPr="00837059">
        <w:rPr>
          <w:bCs/>
          <w:i/>
          <w:iCs/>
        </w:rPr>
        <w:t>is</w:t>
      </w:r>
      <w:proofErr w:type="spellEnd"/>
      <w:r w:rsidRPr="00837059">
        <w:rPr>
          <w:bCs/>
          <w:i/>
          <w:iCs/>
        </w:rPr>
        <w:t xml:space="preserve"> est</w:t>
      </w:r>
      <w:r>
        <w:rPr>
          <w:bCs/>
        </w:rPr>
        <w:t xml:space="preserve"> de forma absoluta, ou seja, </w:t>
      </w:r>
      <w:r w:rsidRPr="00837059">
        <w:rPr>
          <w:bCs/>
          <w:i/>
          <w:iCs/>
        </w:rPr>
        <w:t xml:space="preserve">iuris et de </w:t>
      </w:r>
      <w:proofErr w:type="spellStart"/>
      <w:r w:rsidRPr="00837059">
        <w:rPr>
          <w:bCs/>
          <w:i/>
          <w:iCs/>
        </w:rPr>
        <w:t>iure</w:t>
      </w:r>
      <w:proofErr w:type="spellEnd"/>
      <w:r>
        <w:rPr>
          <w:bCs/>
        </w:rPr>
        <w:t xml:space="preserve">. Afinal, a paternidade decorre da intenção em procriar, e não do vínculo genético.    </w:t>
      </w:r>
    </w:p>
    <w:p w14:paraId="7A49DDF1" w14:textId="78F1D07E" w:rsidR="001770F8" w:rsidRDefault="00734532" w:rsidP="001770F8">
      <w:pPr>
        <w:pStyle w:val="corpo"/>
      </w:pPr>
      <w:r>
        <w:t>N</w:t>
      </w:r>
      <w:r w:rsidR="001770F8">
        <w:t>a</w:t>
      </w:r>
      <w:r>
        <w:t xml:space="preserve">s hipóteses de </w:t>
      </w:r>
      <w:r w:rsidR="001770F8">
        <w:t xml:space="preserve">presunção legal, a lei presume a paternidade aos filhos havidos na constância do casamento, ou em decorrência de inseminação artificial homóloga ou heteróloga, desde que nesta </w:t>
      </w:r>
      <w:r w:rsidR="00BE28D9">
        <w:t xml:space="preserve">última </w:t>
      </w:r>
      <w:r w:rsidR="001770F8">
        <w:t>haja prévia autorização do marido, conforme previsto no art. 1.597, inciso V do Código Civil. Caso a situação fática não se enquadre em nenhuma presunção acima mencionada, ou seja, para os filhos que são concebidos fora do casamento, a filiação advém do reconhecimento, nos termos do artigo 1.609, do Código Civil. A regularização do vínculo jurídico de parentesco, quando não houver presunção legal de paternidade, ou quando esta for afastada, pode ser feito pelo reconhecimento na via administrativa ou judicial.</w:t>
      </w:r>
    </w:p>
    <w:p w14:paraId="7ED45285" w14:textId="77777777" w:rsidR="001770F8" w:rsidRDefault="001770F8" w:rsidP="001770F8">
      <w:pPr>
        <w:pStyle w:val="corpo"/>
      </w:pPr>
      <w:r>
        <w:t xml:space="preserve">Nas palavras de Cristiano Chaves de Farias e Nelson </w:t>
      </w:r>
      <w:proofErr w:type="spellStart"/>
      <w:r>
        <w:t>Rosenvald</w:t>
      </w:r>
      <w:proofErr w:type="spellEnd"/>
      <w:r>
        <w:t xml:space="preserve">, “o reconhecimento de filhos se apresenta como o mecanismo de determinação da relação de parentesco nos casos não alcançados pela presunção </w:t>
      </w:r>
      <w:r w:rsidRPr="00BB667F">
        <w:rPr>
          <w:i/>
          <w:iCs/>
        </w:rPr>
        <w:t xml:space="preserve">pater </w:t>
      </w:r>
      <w:proofErr w:type="spellStart"/>
      <w:r w:rsidRPr="00BB667F">
        <w:rPr>
          <w:i/>
          <w:iCs/>
        </w:rPr>
        <w:t>is</w:t>
      </w:r>
      <w:proofErr w:type="spellEnd"/>
      <w:r w:rsidRPr="00BB667F">
        <w:rPr>
          <w:i/>
          <w:iCs/>
        </w:rPr>
        <w:t xml:space="preserve"> est</w:t>
      </w:r>
      <w:r>
        <w:t xml:space="preserve"> prevista no ordenamento jurídico”</w:t>
      </w:r>
      <w:r>
        <w:rPr>
          <w:rStyle w:val="Refdenotaderodap"/>
          <w:szCs w:val="24"/>
        </w:rPr>
        <w:footnoteReference w:id="100"/>
      </w:r>
      <w:r>
        <w:t xml:space="preserve">. De outro modo, se o reconhecimento de paternidade não for realizado de forma voluntária, existe a possibilidade da averiguação oficiosa na via administrativa, ou da ação de investigação de paternidade, na via judicial. Essas são as formas em que há provocação pela parte interessada, já que não houve concordância expressa do pai. </w:t>
      </w:r>
    </w:p>
    <w:p w14:paraId="326EAEC7" w14:textId="2579669D" w:rsidR="001770F8" w:rsidRDefault="001770F8" w:rsidP="001770F8">
      <w:pPr>
        <w:pStyle w:val="corpo"/>
      </w:pPr>
      <w:r>
        <w:t>A averiguação oficiosa de paternidade ou procedimento de indicação de suposto pai é um procedimento previsto na Lei n° 8.560/1992, e no Provimento n° 16/2012, do CNJ</w:t>
      </w:r>
      <w:r w:rsidR="00BE28D9">
        <w:t>. Mencionado procedimento tem seu trâmite</w:t>
      </w:r>
      <w:r>
        <w:t xml:space="preserve"> perante o juízo, em função administrativa, e por isso, não se confunde com um processo judicial de investigação de paternidade. É um instrumento utilizado nos casos em que a mãe registra seu filho apenas com a maternidade estabelecida, </w:t>
      </w:r>
      <w:r w:rsidR="004265EF">
        <w:t xml:space="preserve">já que </w:t>
      </w:r>
      <w:r>
        <w:t xml:space="preserve">não houve o consentimento do pai em reconhecer a paternidade.  Assim, o pai não concordou em reconhecer a criança como sua filha, ou não houve qualquer resposta, positiva ou negativa, a esse respeito. </w:t>
      </w:r>
    </w:p>
    <w:p w14:paraId="5B33E8E0" w14:textId="23B56C40" w:rsidR="001770F8" w:rsidRDefault="001770F8" w:rsidP="001770F8">
      <w:pPr>
        <w:pStyle w:val="corpo"/>
      </w:pPr>
      <w:r>
        <w:t xml:space="preserve">O procedimento tem por finalidade, seguindo o movimento de desjudicialização no Brasil, facultar ao interessado uma forma mais célere e simplificada do que </w:t>
      </w:r>
      <w:r w:rsidR="00BE5DD2">
        <w:t>a via judicial</w:t>
      </w:r>
      <w:r>
        <w:t xml:space="preserve">. Assim, essa é uma alternativa às partes para solucionarem seu problema de forma consensual e autônoma, sem terem que movimentar a máquina do Poder Judiciário, que exige tempo, e o pagamento de custas judiciais pelos interessados. </w:t>
      </w:r>
    </w:p>
    <w:p w14:paraId="7179B862" w14:textId="77777777" w:rsidR="001770F8" w:rsidRDefault="001770F8" w:rsidP="001770F8">
      <w:pPr>
        <w:pStyle w:val="corpo"/>
      </w:pPr>
      <w:r>
        <w:t xml:space="preserve">Importante ressaltar que, esse procedimento é voltado aos casos em que não há litígio entre as partes, ou seja, quando há um consenso por todos os interessados, sendo que estes devem ser maiores e capazes, com exceção do filho a ser reconhecido que poderá ser representado por sua mãe. Nesses termos, conforme o artigo 2°, e seus parágrafos da Lei n° 8.560/92, há uma alternativa à ação investigatória de paternidade, através da via administrativa em que é conferido ao suposto pai a oportunidade de reconhecer a paternidade que foi alegada pela mãe no Registro Civil das Pessoas Naturais. </w:t>
      </w:r>
    </w:p>
    <w:p w14:paraId="65A36DBA" w14:textId="29202935" w:rsidR="001770F8" w:rsidRDefault="001770F8" w:rsidP="001770F8">
      <w:pPr>
        <w:pStyle w:val="corpo"/>
      </w:pPr>
      <w:r>
        <w:t xml:space="preserve">A Lei n° 8.560/1992 também regulamentou o reconhecimento de paternidade elencando as hipóteses possíveis, com o intuito de facilitar e incentivar a sua realização. </w:t>
      </w:r>
      <w:r w:rsidR="00052421">
        <w:t>A</w:t>
      </w:r>
      <w:r>
        <w:t xml:space="preserve"> sistemática trazida por esta lei, </w:t>
      </w:r>
      <w:r w:rsidR="00052421">
        <w:t xml:space="preserve">e, </w:t>
      </w:r>
      <w:r>
        <w:t xml:space="preserve">nos termos do que prevê o artigo 1.609 do Código Civil brasileiro, qualquer filho poderia ser reconhecido diretamente no Registro Civil das Pessoas Naturais através da perfilhação que poderia se efetuar: </w:t>
      </w:r>
      <w:r w:rsidRPr="00F325C3">
        <w:t>a) no registro de nascimento; b) mediante escritura p</w:t>
      </w:r>
      <w:r>
        <w:t>ú</w:t>
      </w:r>
      <w:r w:rsidRPr="00F325C3">
        <w:t>blica ou escrito particular, a ser arquivado em cartório; c) por testamento, ainda que incidentalmente manifestado; d) por manifestação direta e expressa perante o juiz, ainda que o reconhecimento não haja sido o objeto único e principal do ato que o cont</w:t>
      </w:r>
      <w:r>
        <w:t>é</w:t>
      </w:r>
      <w:r w:rsidRPr="00F325C3">
        <w:t>m</w:t>
      </w:r>
      <w:r>
        <w:t>, sempre independente de qualquer condição ou termo.</w:t>
      </w:r>
    </w:p>
    <w:p w14:paraId="49B56896" w14:textId="77777777" w:rsidR="001770F8" w:rsidRDefault="001770F8" w:rsidP="001770F8">
      <w:pPr>
        <w:pStyle w:val="corpo"/>
      </w:pPr>
      <w:r>
        <w:t xml:space="preserve">O reconhecimento de paternidade realizado por meio da averiguação oficiosa é uma forma de reconhecimento administrativo, que foi provocado pela parte que quer ser reconhecida por seu pai. É um procedimento em que o juiz corregedor permanente (que é o competente para as causas relacionadas aos Registros Públicos, e que atua em função administrativa nestes casos) notifica o suposto pai, a fim de que este, caso queira, compareça ao Registro Civil para assumir a paternidade declarada pela mãe. Esse procedimento não obriga o pai ao reconhecimento da paternidade. </w:t>
      </w:r>
    </w:p>
    <w:p w14:paraId="4F7A3189" w14:textId="77777777" w:rsidR="001770F8" w:rsidRDefault="001770F8" w:rsidP="001770F8">
      <w:pPr>
        <w:pStyle w:val="corpo"/>
      </w:pPr>
      <w:r>
        <w:t xml:space="preserve">No caso </w:t>
      </w:r>
      <w:proofErr w:type="gramStart"/>
      <w:r>
        <w:t>do</w:t>
      </w:r>
      <w:proofErr w:type="gramEnd"/>
      <w:r>
        <w:t xml:space="preserve"> suposto pai discordar da paternidade que lhe é imputada ou mesmo não responder à notificação, não há qualquer forma de coagi-lo no âmbito administrativo, visto que essa esfera só pode prosseguir quando houver consentimento das partes envolvidas na manifestação de vontade. </w:t>
      </w:r>
    </w:p>
    <w:p w14:paraId="1DCB35F4" w14:textId="7762E20B" w:rsidR="001770F8" w:rsidRDefault="001770F8" w:rsidP="001770F8">
      <w:pPr>
        <w:pStyle w:val="corpo"/>
      </w:pPr>
      <w:r>
        <w:t>A averiguação oficiosa, portanto, evita que o caso se transforme em uma ação judicial</w:t>
      </w:r>
      <w:r w:rsidR="001A75A8">
        <w:t xml:space="preserve">, </w:t>
      </w:r>
      <w:r>
        <w:t xml:space="preserve">que tem </w:t>
      </w:r>
      <w:r w:rsidR="006A3BBF">
        <w:t xml:space="preserve">tramitação </w:t>
      </w:r>
      <w:r>
        <w:t>pelo Poder Judiciário, o que demanda</w:t>
      </w:r>
      <w:r w:rsidR="007236D8">
        <w:t>ria</w:t>
      </w:r>
      <w:r>
        <w:t xml:space="preserve"> muito mais tempo e dinheiro. </w:t>
      </w:r>
      <w:r w:rsidR="005A5158">
        <w:t>No entanto</w:t>
      </w:r>
      <w:r>
        <w:t>, caso o pai negue o reconhecimento d</w:t>
      </w:r>
      <w:r w:rsidR="00F76103">
        <w:t xml:space="preserve">e </w:t>
      </w:r>
      <w:r>
        <w:t xml:space="preserve">paternidade ou se omita em relação a ele, o procedimento deverá ser remetido à apreciação jurisdicional </w:t>
      </w:r>
      <w:r w:rsidR="00F76103">
        <w:t>o que</w:t>
      </w:r>
      <w:r>
        <w:t>, inevitavelmente se transformará em um processo judicial.</w:t>
      </w:r>
    </w:p>
    <w:p w14:paraId="17E19BAC" w14:textId="1771A85F" w:rsidR="001770F8" w:rsidRDefault="001770F8" w:rsidP="001770F8">
      <w:pPr>
        <w:pStyle w:val="corpo"/>
      </w:pPr>
      <w:r>
        <w:t xml:space="preserve">Quanto ao procedimento, a averiguação oficiosa pode ser requerida pela mãe nos Registros Civis, tanto no momento da lavratura do assento de nascimento, quanto posteriormente, a qualquer tempo. Nesse último caso, a lei não estabeleceu </w:t>
      </w:r>
      <w:r w:rsidR="00EA4151">
        <w:t xml:space="preserve">um </w:t>
      </w:r>
      <w:r>
        <w:t>prazo</w:t>
      </w:r>
      <w:r w:rsidR="00EA4151">
        <w:t xml:space="preserve"> fatal</w:t>
      </w:r>
      <w:r>
        <w:t xml:space="preserve"> para </w:t>
      </w:r>
      <w:r w:rsidR="0009314E">
        <w:t>a mãe manifestar interesse</w:t>
      </w:r>
      <w:r>
        <w:t xml:space="preserve">. O procedimento da averiguação oficiosa, quando manifestado o interesse pela mãe no momento do registro de nascimento, impõe que o registrador civil lavre o assento apenas com os dados maternos, e remeta ao juiz </w:t>
      </w:r>
      <w:r w:rsidR="00986DAC">
        <w:t xml:space="preserve">a </w:t>
      </w:r>
      <w:r>
        <w:t>certidão integral do registro. Além disso, o registrador deve remeter também todos os dados do suposto pai, que foram declarados pela mãe, a fim de ser averiguada oficiosamente a procedência da alegação pelo juiz.</w:t>
      </w:r>
    </w:p>
    <w:p w14:paraId="451DDAA5" w14:textId="3E1554EA" w:rsidR="001770F8" w:rsidRDefault="001770F8" w:rsidP="001770F8">
      <w:pPr>
        <w:pStyle w:val="corpo"/>
      </w:pPr>
      <w:r>
        <w:t xml:space="preserve">O juiz, então, sempre que possível, realizará a oitiva da mãe sobre a paternidade alegada, </w:t>
      </w:r>
      <w:r w:rsidR="00C06A81">
        <w:t>no intuito de que se colha</w:t>
      </w:r>
      <w:r>
        <w:t xml:space="preserve"> todas as informações sobre o pai, como o seu nome, qualificação e endereço residencial. Após, o juiz poderá notificar o suposto pai para que ele se manifeste sobre a paternidade que lhe é atribuída, nos termos do artigo 2°, parágrafo 1°, da Lei n° 8.560/92. A lei menciona que o pai será notificado independentemente de seu estado civil. Assim, o fato </w:t>
      </w:r>
      <w:proofErr w:type="gramStart"/>
      <w:r>
        <w:t>do</w:t>
      </w:r>
      <w:proofErr w:type="gramEnd"/>
      <w:r>
        <w:t xml:space="preserve"> pai ser casado com outra mulher e ter vários filhos, não</w:t>
      </w:r>
      <w:r w:rsidR="00777A8D">
        <w:t xml:space="preserve"> o</w:t>
      </w:r>
      <w:r>
        <w:t xml:space="preserve"> impede </w:t>
      </w:r>
      <w:r w:rsidR="00777A8D">
        <w:t>de ser</w:t>
      </w:r>
      <w:r>
        <w:t xml:space="preserve"> chamado a responder pela alegação de paternidade dentro de um procedimento de suposto pai.</w:t>
      </w:r>
    </w:p>
    <w:p w14:paraId="2559B885" w14:textId="72654B48" w:rsidR="001770F8" w:rsidRDefault="001770F8" w:rsidP="001770F8">
      <w:pPr>
        <w:pStyle w:val="corpo"/>
      </w:pPr>
      <w:r>
        <w:t>No caso da confirmação</w:t>
      </w:r>
      <w:r w:rsidR="00136A9F">
        <w:t xml:space="preserve"> em juízo sobre </w:t>
      </w:r>
      <w:r>
        <w:t xml:space="preserve">a paternidade pelo suposto pai, o termo de reconhecimento de paternidade será lavrado e remetido ao oficial de registro civil. Em seguida, o registrador civil deverá proceder à devida averbação do reconhecimento da paternidade à margem do assento de nascimento da pessoa reconhecida. Na certidão atualizada a ser emitida constará o nome do pai e da mãe do registrado, sem que se faça qualquer menção à existência de um reconhecimento de paternidade, a fim de que não se gere discriminações em relação àquela criança ou adolescente. Ademais, a não menção ao ato de reconhecimento na certidão de nascimento tem o condão também de respeitar o Princípio da Igualdade ou da não discriminação dos filhos, estudado anteriormente.   </w:t>
      </w:r>
    </w:p>
    <w:p w14:paraId="7E089237" w14:textId="72B9B997" w:rsidR="001770F8" w:rsidRDefault="00242C43" w:rsidP="001770F8">
      <w:pPr>
        <w:pStyle w:val="corpo"/>
      </w:pPr>
      <w:r>
        <w:t xml:space="preserve">De outro modo, caso haja </w:t>
      </w:r>
      <w:r w:rsidR="001770F8">
        <w:t>a negativa ou o não atendimento da notificação judicial pelo suposto pai, o juiz remeterá os autos ao representante do Ministério Público para que dê início à ação própria. Nesses termos, o procedimento muda-se de voluntário para forçado, e será necessário iniciar um processo na via judicial denominado de ação de investigação de paternidade.</w:t>
      </w:r>
    </w:p>
    <w:p w14:paraId="29DE4842" w14:textId="77777777" w:rsidR="001770F8" w:rsidRDefault="001770F8" w:rsidP="001770F8">
      <w:pPr>
        <w:pStyle w:val="corpo"/>
      </w:pPr>
      <w:r w:rsidRPr="007B72DE">
        <w:t>O reconhecimento coativo ou forçado ocorre judicialmente, através da ação de investigação de paternidade, prevista n</w:t>
      </w:r>
      <w:r>
        <w:t xml:space="preserve">o artigo 2°-A, da </w:t>
      </w:r>
      <w:r w:rsidRPr="007B72DE">
        <w:t>Lei nº 8.560/92, n</w:t>
      </w:r>
      <w:r w:rsidR="00471C5E">
        <w:t xml:space="preserve">as hipóteses </w:t>
      </w:r>
      <w:r w:rsidRPr="007B72DE">
        <w:t>em que não houve o reconhecimento espontâneo do filho pelo pai.</w:t>
      </w:r>
      <w:r>
        <w:t xml:space="preserve"> </w:t>
      </w:r>
      <w:r w:rsidR="004443E9">
        <w:t xml:space="preserve">Nos termos do que nos ensina </w:t>
      </w:r>
      <w:r w:rsidRPr="007B72DE">
        <w:t xml:space="preserve">Mario de Carvalho Camargo Neto, “a investigação de paternidade é utilizada para comprovar o vínculo biológico entre pai e filho. Quando se busca a </w:t>
      </w:r>
      <w:r>
        <w:t>c</w:t>
      </w:r>
      <w:r w:rsidRPr="007B72DE">
        <w:t>omprovação do vínculo socioafetivo entre pai e filho, recebe o nome de ação de declaração de filiação socioafetiva”</w:t>
      </w:r>
      <w:r w:rsidRPr="007B72DE">
        <w:rPr>
          <w:rStyle w:val="Refdenotaderodap"/>
          <w:szCs w:val="24"/>
        </w:rPr>
        <w:footnoteReference w:id="101"/>
      </w:r>
      <w:r w:rsidRPr="007B72DE">
        <w:t>.</w:t>
      </w:r>
    </w:p>
    <w:p w14:paraId="4F86E49E" w14:textId="32FB0949" w:rsidR="001770F8" w:rsidRPr="007B72DE" w:rsidRDefault="001770F8" w:rsidP="001770F8">
      <w:pPr>
        <w:pStyle w:val="corpo"/>
      </w:pPr>
      <w:r>
        <w:t>Assim, verifica-se que a ação de investigação de paternidade é utilizada para os casos em que o pai não se manifestou de forma voluntária no reconhecimento de paternidade</w:t>
      </w:r>
      <w:r w:rsidR="00CE097A">
        <w:t xml:space="preserve"> de seu filho </w:t>
      </w:r>
      <w:r>
        <w:t xml:space="preserve">biológico.  </w:t>
      </w:r>
    </w:p>
    <w:p w14:paraId="04FD56AC" w14:textId="74B60C22" w:rsidR="001770F8" w:rsidRDefault="001770F8" w:rsidP="001770F8">
      <w:pPr>
        <w:pStyle w:val="corpo"/>
      </w:pPr>
      <w:r w:rsidRPr="007B72DE">
        <w:t xml:space="preserve"> Por fim, há o procedimento de reconhecimento voluntário de filho</w:t>
      </w:r>
      <w:r>
        <w:t xml:space="preserve"> biológico</w:t>
      </w:r>
      <w:r w:rsidRPr="007B72DE">
        <w:t>, em que ocorre na esfera ex</w:t>
      </w:r>
      <w:r>
        <w:t xml:space="preserve">trajudicial, nos termos do Provimento n° 16/2012, do Conselho Nacional de Justiça. Importante ressaltar que, no Brasil quando mencionamos via extrajudicial estamos tratando dos casos que podem ser resolvidos </w:t>
      </w:r>
      <w:r w:rsidR="00735EE6">
        <w:t>direta e unicamente pelos</w:t>
      </w:r>
      <w:r>
        <w:t xml:space="preserve"> Registros Civis das Pessoas Naturais, também denominados de Cartórios Extrajudiciais, e que em Portugal são denominados de Conservatória do Registo Civil. </w:t>
      </w:r>
    </w:p>
    <w:p w14:paraId="05F2ACBA" w14:textId="36CE790E" w:rsidR="001770F8" w:rsidRDefault="001770F8" w:rsidP="001770F8">
      <w:pPr>
        <w:pStyle w:val="corpo"/>
      </w:pPr>
      <w:r>
        <w:t xml:space="preserve">Esses são os casos de reconhecimento posterior de paternidade, ou seja, o reconhecimento que ocorre depois da lavratura do registro de nascimento, nas situações em que o filho foi registrado apenas com a maternidade estabelecida. Nessa hipótese, verificamos que se admitem duas formas de reconhecimento: a via administrativa, e a via judicial. Na via administrativa, em que se procede </w:t>
      </w:r>
      <w:r w:rsidR="00735EE6">
        <w:t>perante o</w:t>
      </w:r>
      <w:r>
        <w:t xml:space="preserve">s Registros Civis das Pessoas Naturais, há a possibilidade do reconhecimento ser espontâneo ou provocado, em que o primeiro é realizado nos termos do Provimento n° 16/2012, e o segundo nos termos da Lei n° 8.560/92, sendo este denominado de averiguação oficiosa de paternidade ou procedimento do suposto pai. Na via judicial, por conseguinte, existe a possibilidade da ação de investigação de paternidade, ação de declaração socioafetiva e ação de reconhecimento biológico. </w:t>
      </w:r>
    </w:p>
    <w:p w14:paraId="49D8FD70" w14:textId="29FD6490" w:rsidR="001770F8" w:rsidRDefault="001770F8" w:rsidP="007A09DC">
      <w:pPr>
        <w:pStyle w:val="corpo"/>
        <w:tabs>
          <w:tab w:val="clear" w:pos="8504"/>
        </w:tabs>
      </w:pPr>
      <w:r>
        <w:t xml:space="preserve">Nesses termos, o reconhecimento espontâneo de filho na via extrajudicial é o caso utilizado pelos interessados na hipótese de filiação biológica, quando o filho foi havido fora de uma relação matrimonial, e que não houve o estabelecimento da paternidade no momento do registro de nascimento. </w:t>
      </w:r>
      <w:r w:rsidR="00B44855">
        <w:t>N</w:t>
      </w:r>
      <w:r>
        <w:t xml:space="preserve">o presente caso, o pretenso pai que comparece para fazer o reconhecimento é aquele que não o fez no Registro Civil pessoalmente, nem através de escritura pública ou escrito particular, e nem por testamento ou manifestação direta e expressa perante o juiz, como prevê o artigo 1609, do Código Civil brasileiro. </w:t>
      </w:r>
    </w:p>
    <w:p w14:paraId="247F8F6D" w14:textId="622DFA94" w:rsidR="001770F8" w:rsidRDefault="001770F8" w:rsidP="001770F8">
      <w:pPr>
        <w:pStyle w:val="corpo"/>
      </w:pPr>
      <w:r>
        <w:t>O pai, interessado no reconhecimento de seu filho e com a vontade inequívoca de o fazê-lo, comparece ao Cartório para que o oficial colha sua manifestação de vontade e preencha o formulário próprio previsto no Provimento n° 16/2012 do CNJ, que ficará arquivado no Registro Civil. O mencionado formulário consta do Anexo II do Provimento n° 16/2012 do CNJ, e traz os seguintes campos a serem preenchidos pelo pai: qualificação completa da pessoa que comparece espontaneamente para reconhecer filho e dados do filho a ser reconhecido. Essas informações são imprescindíveis</w:t>
      </w:r>
      <w:r w:rsidR="00B44855">
        <w:t xml:space="preserve"> para que </w:t>
      </w:r>
      <w:r>
        <w:t xml:space="preserve">não surta qualquer dúvida sobre a identidade tanto do pai quanto do filho reconhecido. Além disso, o pai deve fazer uma declaração, sob as penas da lei, de que a filiação por ele afirmada é verdadeira, e que ele reconhece, nos termos do artigo 1.609, II, do Código Civil brasileiro, o filho biológico.  </w:t>
      </w:r>
    </w:p>
    <w:p w14:paraId="4CAE04FD" w14:textId="77777777" w:rsidR="001770F8" w:rsidRDefault="000A4FF9" w:rsidP="001770F8">
      <w:pPr>
        <w:pStyle w:val="corpo"/>
      </w:pPr>
      <w:r>
        <w:t>Atualmente, o</w:t>
      </w:r>
      <w:r w:rsidR="001770F8">
        <w:t xml:space="preserve"> reconhecimento voluntário extrajudicial é o que ganha maior </w:t>
      </w:r>
      <w:r w:rsidR="006011F6">
        <w:t>destaque</w:t>
      </w:r>
      <w:r w:rsidR="001770F8">
        <w:t xml:space="preserve"> no Brasil, </w:t>
      </w:r>
      <w:r>
        <w:t xml:space="preserve">em razão da possibilidade </w:t>
      </w:r>
      <w:proofErr w:type="gramStart"/>
      <w:r>
        <w:t>do</w:t>
      </w:r>
      <w:proofErr w:type="gramEnd"/>
      <w:r w:rsidR="001770F8">
        <w:t xml:space="preserve"> procedimento ser realizado perante os Registros Civis das Pessoas Naturais, sem qualquer intervenção judicial ou do Ministério Público</w:t>
      </w:r>
      <w:r w:rsidR="00A47B42">
        <w:t>, ou mesmo de um advogado</w:t>
      </w:r>
      <w:r w:rsidR="001770F8">
        <w:t xml:space="preserve">. Esse tipo de reconhecimento torna-se mais </w:t>
      </w:r>
      <w:r>
        <w:t>popular</w:t>
      </w:r>
      <w:r w:rsidR="001770F8">
        <w:t xml:space="preserve">, </w:t>
      </w:r>
      <w:r>
        <w:t>pela sua rapidez e simplicidade.</w:t>
      </w:r>
    </w:p>
    <w:p w14:paraId="4B02472F" w14:textId="61C02259" w:rsidR="001770F8" w:rsidRDefault="00A96F07" w:rsidP="001770F8">
      <w:pPr>
        <w:pStyle w:val="corpo"/>
      </w:pPr>
      <w:r>
        <w:t>O</w:t>
      </w:r>
      <w:r w:rsidR="001770F8">
        <w:t>s filhos concebidos fora do casamento</w:t>
      </w:r>
      <w:r>
        <w:t xml:space="preserve"> poderão ser reconhecidos</w:t>
      </w:r>
      <w:r w:rsidR="001770F8">
        <w:t xml:space="preserve">, </w:t>
      </w:r>
      <w:r w:rsidR="000E1927">
        <w:t>sendo necessári</w:t>
      </w:r>
      <w:r w:rsidR="00B248EB">
        <w:t xml:space="preserve">a </w:t>
      </w:r>
      <w:r w:rsidR="001770F8">
        <w:t xml:space="preserve">apenas a declaração </w:t>
      </w:r>
      <w:r w:rsidR="00B248EB">
        <w:t xml:space="preserve">do pai </w:t>
      </w:r>
      <w:r w:rsidR="001770F8">
        <w:t>ao Registr</w:t>
      </w:r>
      <w:r w:rsidR="00B248EB">
        <w:t>ador</w:t>
      </w:r>
      <w:r w:rsidR="001770F8">
        <w:t xml:space="preserve"> Civil de que </w:t>
      </w:r>
      <w:r w:rsidR="00B248EB">
        <w:t xml:space="preserve">reconhece </w:t>
      </w:r>
      <w:r w:rsidR="001770F8">
        <w:t>a criança</w:t>
      </w:r>
      <w:r w:rsidR="00B248EB">
        <w:t xml:space="preserve"> como filha. Posteriormente</w:t>
      </w:r>
      <w:r w:rsidR="001770F8">
        <w:t>, proced</w:t>
      </w:r>
      <w:r w:rsidR="00B248EB">
        <w:t>e-se</w:t>
      </w:r>
      <w:r w:rsidR="001770F8">
        <w:t xml:space="preserve"> à averbação do reconhecimento no registro de nascimento do filho, nos termos do artigo 6º e 7º, do Provimento nº 16/2012, do CNJ. Além disso, a referida averbação deve ser realizada no Registro Civil onde está </w:t>
      </w:r>
      <w:r w:rsidR="00DC24C6">
        <w:t xml:space="preserve">localizado </w:t>
      </w:r>
      <w:r w:rsidR="001770F8">
        <w:t xml:space="preserve">o assento de nascimento do filho, independentemente de manifestação do Ministério Público ou </w:t>
      </w:r>
      <w:r w:rsidR="00FA2F26">
        <w:t>do juiz</w:t>
      </w:r>
      <w:r w:rsidR="001770F8">
        <w:t xml:space="preserve">.  </w:t>
      </w:r>
    </w:p>
    <w:p w14:paraId="3171B7C8" w14:textId="31F5C598" w:rsidR="001770F8" w:rsidRDefault="001770F8" w:rsidP="001770F8">
      <w:pPr>
        <w:pStyle w:val="corpo"/>
      </w:pPr>
      <w:r>
        <w:t>Importante ressaltar que, da mesma forma como ocorre no procedimento do suposto pai, não é dada publicidade a essa averbação de reconhecimento na certidão de nascimento, a fim de que não se façam discriminações entre os filhos, nos termos do que prevê o Princípio da igualdade ou da não discriminação. A certidão de nascimento</w:t>
      </w:r>
      <w:r w:rsidR="00953FEC">
        <w:t>, então,</w:t>
      </w:r>
      <w:r>
        <w:t xml:space="preserve"> é emitida da mesma forma como a de uma criança em que os pais estabeleceram a maternidade e paternidade no momento do registro.</w:t>
      </w:r>
    </w:p>
    <w:p w14:paraId="72A44819" w14:textId="44BFEAD4" w:rsidR="001770F8" w:rsidRDefault="001770F8" w:rsidP="001770F8">
      <w:pPr>
        <w:pStyle w:val="corpo"/>
      </w:pPr>
      <w:r>
        <w:t xml:space="preserve">Cabe ao registrador civil, com base no Princípio da legalidade e na sua função de aconselhamento, indagar o declarante se é realmente o pai biológico do registrando, e informando-o de que uma declaração falsa a esse respeito tipifica-se como crime de registrar como seu filho de outrem (artigo 242, do Código Penal brasileiro). Ademais, deixar claro que o meio adequado para se tornar pai de filho de outrem é a adoção, que </w:t>
      </w:r>
      <w:r w:rsidR="00602966">
        <w:t>exige</w:t>
      </w:r>
      <w:r>
        <w:t xml:space="preserve"> um processo judicial.</w:t>
      </w:r>
    </w:p>
    <w:p w14:paraId="236EDC1F" w14:textId="147B1F50" w:rsidR="001770F8" w:rsidRDefault="001770F8" w:rsidP="001770F8">
      <w:pPr>
        <w:pStyle w:val="corpo"/>
      </w:pPr>
      <w:r>
        <w:t xml:space="preserve">O pai, ao reconhecer o filho, não precisa fazer prova específica de ser ele realmente o pai, bastando a mera declaração dessa qualidade ao Oficial de Registro Civil. Entretanto, caso a pessoa a ser reconhecida seja menor de idade, necessário se faz a anuência da mãe. E, caso o filho </w:t>
      </w:r>
      <w:r w:rsidR="00C74346">
        <w:t>s</w:t>
      </w:r>
      <w:r>
        <w:t>eja maior de idade, é imprescindível sua concordância no procedimento, nos termos do artigo 7º, do Provimento nº 16/2012, do CNJ.</w:t>
      </w:r>
    </w:p>
    <w:p w14:paraId="6EFF609C" w14:textId="23932327" w:rsidR="001770F8" w:rsidRDefault="001770F8" w:rsidP="001770F8">
      <w:pPr>
        <w:pStyle w:val="corpo"/>
      </w:pPr>
      <w:r>
        <w:t>O Provimento nº 16/2012, do CNJ prevê algumas hipóteses em que o procedimento de reconhecimento de paternidade</w:t>
      </w:r>
      <w:r w:rsidR="00EB522F">
        <w:t xml:space="preserve"> </w:t>
      </w:r>
      <w:r>
        <w:t xml:space="preserve">não poderá ser realizado pelo oficial registrador, sendo nesses casos imprescindível a intervenção judicial: no caso em que a mãe não possa dar sua anuência na hipótese de filho menor, ou com a impossibilidade de manifestação válida do filho maior (art. 7°, § 2°).  Há também a situação em que o oficial registrador suspeite de fraude, falsidade ou má-fé das declarações sobre o reconhecimento de filho (art. 7°, §3°). </w:t>
      </w:r>
    </w:p>
    <w:p w14:paraId="562A2839" w14:textId="2B85C4AF" w:rsidR="001770F8" w:rsidRDefault="001770F8" w:rsidP="001770F8">
      <w:pPr>
        <w:pStyle w:val="corpo"/>
      </w:pPr>
      <w:r>
        <w:t xml:space="preserve">Assim, nas situações anteriormente mencionadas, o procedimento não poderá ser realizado </w:t>
      </w:r>
      <w:r w:rsidR="00EB522F">
        <w:t>pela</w:t>
      </w:r>
      <w:r>
        <w:t xml:space="preserve"> via extrajudicial. O </w:t>
      </w:r>
      <w:r w:rsidR="00EB522F">
        <w:t>oficial</w:t>
      </w:r>
      <w:r>
        <w:t xml:space="preserve">, então, deverá submeter o caso ao juiz competente, comunicando, por escrito, os motivos da recusa do procedimento e da suspeita de fraude, falsidade ou má-fé, a fim de que o juiz possa analisar o caso concreto e decidir se é possível ou não a concessão do reconhecimento de paternidade. </w:t>
      </w:r>
    </w:p>
    <w:p w14:paraId="2A55EDBF" w14:textId="24047C46" w:rsidR="001770F8" w:rsidRDefault="001770F8" w:rsidP="001770F8">
      <w:pPr>
        <w:pStyle w:val="corpo"/>
      </w:pPr>
      <w:r>
        <w:t>Relevante informação quanto ao procedimento é o fato de que ele pode ser realizado em Cartório diverso do local onde registrado o indivíduo. Isso porque o procedimento independe do local onde está registrado o assento de nascimento da pessoa a ser reconhecida. Nesses casos, os documentos e o formulário (anexo II, do Provimento nº 16/2012, do CNJ) deverão ser enviados ao Cartório em que está registrado o filho para que se proceda à devida averbação</w:t>
      </w:r>
      <w:r w:rsidR="00514505">
        <w:t>, ou seja, a inserção de todos os dados do pai e avós paternos</w:t>
      </w:r>
      <w:r>
        <w:t>.</w:t>
      </w:r>
    </w:p>
    <w:p w14:paraId="3D8E8676" w14:textId="172C425A" w:rsidR="001770F8" w:rsidRDefault="001770F8" w:rsidP="001770F8">
      <w:pPr>
        <w:pStyle w:val="corpo"/>
      </w:pPr>
      <w:r>
        <w:t xml:space="preserve">Verifica-se que, com a uniformização da legislação sobre o reconhecimento espontâneo de filho perante os Cartórios em âmbito nacional, nos termos do Provimento nº 16/2012, do Conselho Nacional de Justiça, tal procedimento ganhou maior publicidade, simplicidade e maior acesso à população, na medida em que é realizado de forma similar em todos os Registros Civis do Brasil, independentemente do local onde está registrado o assento de nascimento do filho. </w:t>
      </w:r>
    </w:p>
    <w:p w14:paraId="1FC9410C" w14:textId="77777777" w:rsidR="0007653D" w:rsidRPr="0007653D" w:rsidRDefault="0007653D" w:rsidP="0007653D">
      <w:pPr>
        <w:rPr>
          <w:bCs/>
        </w:rPr>
      </w:pPr>
    </w:p>
    <w:p w14:paraId="06D13D95" w14:textId="77777777" w:rsidR="0007653D" w:rsidRDefault="0007653D" w:rsidP="0007653D">
      <w:pPr>
        <w:pStyle w:val="Ttulo3"/>
        <w:rPr>
          <w:b/>
          <w:bCs/>
        </w:rPr>
      </w:pPr>
      <w:bookmarkStart w:id="66" w:name="_Toc28034659"/>
      <w:r w:rsidRPr="0007653D">
        <w:rPr>
          <w:b/>
          <w:bCs/>
        </w:rPr>
        <w:t>Em Portugal</w:t>
      </w:r>
      <w:bookmarkEnd w:id="66"/>
    </w:p>
    <w:p w14:paraId="243436E7" w14:textId="77777777" w:rsidR="00352016" w:rsidRDefault="00352016" w:rsidP="00352016"/>
    <w:p w14:paraId="022AF11F" w14:textId="77777777" w:rsidR="00352016" w:rsidRDefault="00352016" w:rsidP="00352016">
      <w:pPr>
        <w:pStyle w:val="corpo"/>
      </w:pPr>
      <w:r>
        <w:t>Inicialmente é importante destacar que a filiação em Portugal “é a relação de parentesco que liga os descendentes aos respectivos progenitores. A filiação assenta essencialmente na procriação e nos laços de sangue</w:t>
      </w:r>
      <w:r>
        <w:rPr>
          <w:rStyle w:val="Refdenotaderodap"/>
          <w:szCs w:val="24"/>
        </w:rPr>
        <w:footnoteReference w:id="102"/>
      </w:r>
      <w:r>
        <w:t>”. Assim, a origem da filiação está baseada na procriação, independentemente de vínculo matrimonial entre os progenitores. A filiação tem a origem baseada, exclusivamente, na consanguinidade.</w:t>
      </w:r>
    </w:p>
    <w:p w14:paraId="4470E464" w14:textId="77777777" w:rsidR="00352016" w:rsidRDefault="00352016" w:rsidP="0053758C">
      <w:pPr>
        <w:pStyle w:val="corpo"/>
        <w:tabs>
          <w:tab w:val="clear" w:pos="4252"/>
        </w:tabs>
      </w:pPr>
      <w:r>
        <w:t xml:space="preserve">Em Portugal, relativamente ao estabelecimento da paternidade, há que se distinguir os casos em que os filhos nasceram na constância do casamento dos que nasceram fora do matrimônio. Quanto àqueles que nasceram dentro do casamento, a paternidade é presumida por lei: </w:t>
      </w:r>
      <w:r w:rsidRPr="0072666E">
        <w:rPr>
          <w:i/>
        </w:rPr>
        <w:t xml:space="preserve">pater </w:t>
      </w:r>
      <w:proofErr w:type="spellStart"/>
      <w:r w:rsidRPr="0072666E">
        <w:rPr>
          <w:i/>
        </w:rPr>
        <w:t>is</w:t>
      </w:r>
      <w:proofErr w:type="spellEnd"/>
      <w:r w:rsidRPr="0072666E">
        <w:rPr>
          <w:i/>
        </w:rPr>
        <w:t xml:space="preserve"> est </w:t>
      </w:r>
      <w:proofErr w:type="spellStart"/>
      <w:r w:rsidRPr="0072666E">
        <w:rPr>
          <w:i/>
        </w:rPr>
        <w:t>quam</w:t>
      </w:r>
      <w:proofErr w:type="spellEnd"/>
      <w:r w:rsidRPr="0072666E">
        <w:rPr>
          <w:i/>
        </w:rPr>
        <w:t xml:space="preserve"> justa nuptiae </w:t>
      </w:r>
      <w:proofErr w:type="spellStart"/>
      <w:r w:rsidRPr="0072666E">
        <w:rPr>
          <w:i/>
        </w:rPr>
        <w:t>demonstrant</w:t>
      </w:r>
      <w:proofErr w:type="spellEnd"/>
      <w:r w:rsidRPr="0072666E">
        <w:rPr>
          <w:i/>
        </w:rPr>
        <w:t>.</w:t>
      </w:r>
      <w:r>
        <w:rPr>
          <w:i/>
        </w:rPr>
        <w:t xml:space="preserve"> </w:t>
      </w:r>
      <w:r>
        <w:t xml:space="preserve">Aos que nasceram fora do casamento, a paternidade estabelece-se por reconhecimento, nos termos do artigo 1796°, n° 2, do Código Civil português. O reconhecimento pode ser feito por perfilhação, ou por decisão judicial em ação de investigação, nos termos do artigo 1847°, CC Português.   </w:t>
      </w:r>
    </w:p>
    <w:p w14:paraId="39F697AA" w14:textId="77777777" w:rsidR="00352016" w:rsidRDefault="00352016" w:rsidP="007A09DC">
      <w:pPr>
        <w:pStyle w:val="corpo"/>
        <w:tabs>
          <w:tab w:val="clear" w:pos="4252"/>
        </w:tabs>
      </w:pPr>
      <w:r>
        <w:t>Assim, a paternidade, nos termos do artigo 1796°, n° 2, do Código Civil, presume-se em relação ao marido da mãe e, nos casos de filiação fora do casamento, fixa-se pelo reconhecimento. Por sua vez, quanto às formas de reconhecimento da paternidade, o reconhecimento de filho nascido ou concebido fora do casamento realiza-se por perfilhação ou decisão judicial em ação de investigação.</w:t>
      </w:r>
    </w:p>
    <w:p w14:paraId="44251C3D" w14:textId="7ED9A751" w:rsidR="00352016" w:rsidRDefault="00352016" w:rsidP="00352016">
      <w:pPr>
        <w:pStyle w:val="corpo"/>
      </w:pPr>
      <w:r>
        <w:t xml:space="preserve">A perfilhação é uma forma de reconhecimento voluntário de filho, nos casos em que o pai concorda em reconhecer a paternidade. Já o reconhecimento judicial é uma ação com essa finalidade específica, em que houve a necessidade </w:t>
      </w:r>
      <w:proofErr w:type="gramStart"/>
      <w:r>
        <w:t>do</w:t>
      </w:r>
      <w:proofErr w:type="gramEnd"/>
      <w:r>
        <w:t xml:space="preserve"> filho ingressar no Poder Judiciário para requerer o reconhecimento de filiação do pretenso pai. A averiguação oficiosa, de outra forma, evidencia a atividade desenvolvida com a finalidade de estabelecer a paternidade por uma dessas vias: perfilhação ou o reconhecimento judicial.</w:t>
      </w:r>
    </w:p>
    <w:p w14:paraId="5EB934F0" w14:textId="1542820D" w:rsidR="00352016" w:rsidRDefault="00352016" w:rsidP="00352016">
      <w:pPr>
        <w:pStyle w:val="corpo"/>
      </w:pPr>
      <w:r>
        <w:t xml:space="preserve">Nesses termos, o estabelecimento da paternidade pode ocorrer de 3 modos: presunção de paternidade, perfilhação e o reconhecimento judicial. </w:t>
      </w:r>
    </w:p>
    <w:p w14:paraId="0230C0CB" w14:textId="080E296A" w:rsidR="00352016" w:rsidRDefault="00352016" w:rsidP="00352016">
      <w:pPr>
        <w:pStyle w:val="corpo"/>
      </w:pPr>
      <w:r>
        <w:t xml:space="preserve">Quanto à presunção de paternidade, o artigo 1826°, n° 1, CC menciona que “presume-se que o filho nascido ou concebido na constância do matrimônio tem como pai o marido da mãe”. Assim, a presunção legal abrange as situações em que o filho foi concebido </w:t>
      </w:r>
      <w:r w:rsidR="00091057">
        <w:t>ou</w:t>
      </w:r>
      <w:r>
        <w:t xml:space="preserve"> nasceu na constância do casamento; as situações em que foi concebido antes do casamento e nasceu durante ele; e as situações em que o filho foi concebido durante o matrimônio e nasceu após a dissolução do mesmo. Esses são os casos em que há um alto grau de probabilidade do filho ser do marido da mãe, e em razão disso, a lei </w:t>
      </w:r>
      <w:r w:rsidR="00BE56E4">
        <w:t xml:space="preserve">os </w:t>
      </w:r>
      <w:r>
        <w:t>fixou.</w:t>
      </w:r>
    </w:p>
    <w:p w14:paraId="2360EAEA" w14:textId="5561F86B" w:rsidR="00352016" w:rsidRDefault="00352016" w:rsidP="00352016">
      <w:pPr>
        <w:pStyle w:val="corpo"/>
      </w:pPr>
      <w:r>
        <w:t xml:space="preserve">Mais adiante, o artigo 1827°, CC destaca a presunção de paternidade nos casos de casamento putativo. O referido artigo menciona que, mesmo nas hipóteses de anulação de casamento civil e de declaração de nulidade do casamento católico transcrito no registo civil, deve permanecer a presunção de paternidade. Logo, o desaparecimento do casamento não </w:t>
      </w:r>
      <w:r w:rsidR="005C72CE">
        <w:t xml:space="preserve">altera </w:t>
      </w:r>
      <w:r>
        <w:t xml:space="preserve">a presunção de paternidade, que permanecerá </w:t>
      </w:r>
      <w:r w:rsidR="005C72CE">
        <w:t>da mesma forma</w:t>
      </w:r>
      <w:r>
        <w:t xml:space="preserve">. </w:t>
      </w:r>
    </w:p>
    <w:p w14:paraId="5820CB35" w14:textId="64F1DC8F" w:rsidR="00352016" w:rsidRDefault="00352016" w:rsidP="00352016">
      <w:pPr>
        <w:pStyle w:val="corpo"/>
      </w:pPr>
      <w:r>
        <w:t xml:space="preserve">De outro modo, há também as situações em que a lei afasta a presunção de paternidade, em que estão elencadas nos artigos 1828° e 1829°, do Código Civil. A primeira hipótese trata-se do filho nascido dentro dos 180 dias posteriores à celebração do casamento, mas que a mãe ou o marido declaram no momento do registo de nascimento que o marido não é o pai, afastando, por consequência, a presunção estabelecida no artigo 1826°, n° 1, CC. </w:t>
      </w:r>
    </w:p>
    <w:p w14:paraId="7D208392" w14:textId="2B1E91FA" w:rsidR="00352016" w:rsidRDefault="00352016" w:rsidP="00352016">
      <w:pPr>
        <w:pStyle w:val="corpo"/>
      </w:pPr>
      <w:r>
        <w:t>Assim, caso a mulher casada declar</w:t>
      </w:r>
      <w:r w:rsidR="005419FE">
        <w:t>e</w:t>
      </w:r>
      <w:r>
        <w:t xml:space="preserve"> no momento do registo de nascimento que </w:t>
      </w:r>
      <w:r w:rsidR="00B316F5">
        <w:t>o pai</w:t>
      </w:r>
      <w:r>
        <w:t xml:space="preserve"> não é o marido, afasta-se a presunção e registra-se a criança sem a paternidade estabelecida. Nesse caso, o verdadeiro pai pode, desde logo, reconhecer voluntariamente a paternidade, nos termos do artigo 119°, do Código do Registo Civil. </w:t>
      </w:r>
    </w:p>
    <w:p w14:paraId="636477A4" w14:textId="1BE61909" w:rsidR="00352016" w:rsidRDefault="00352016" w:rsidP="00352016">
      <w:pPr>
        <w:pStyle w:val="corpo"/>
      </w:pPr>
      <w:r>
        <w:t xml:space="preserve">Entretanto, no caso de não ser feita a declaração negatória será necessário o estabelecimento da paternidade no registo, conforme a presunção legal. A segunda hipótese em que a lei afasta a presunção de paternidade está prevista no artigo 1829°, CC e trata-se dos casos em que o nascimento do filho ocorre após 300 dias depois de finda a coabitação dos cônjuges.  </w:t>
      </w:r>
    </w:p>
    <w:p w14:paraId="204EB54F" w14:textId="77777777" w:rsidR="00352016" w:rsidRDefault="00352016" w:rsidP="00352016">
      <w:pPr>
        <w:pStyle w:val="corpo"/>
      </w:pPr>
      <w:r>
        <w:t xml:space="preserve">O afastamento da presunção de paternidade nos casos dos filhos concebidos depois de finda a coabitação (art. 1829°, CC) pode ter seu reinício ou renascimento. Na hipótese de reinício da presunção de paternidade, prevista no artigo 1830°, CC, a presunção recupera os seus efeitos. Já no caso de renascimento da presunção de paternidade, esta é restabelecida em razão de decisão judicial em que foi comprovado que no período legal da concepção existiram relações entre os cônjuges que tornam verossímil a paternidade do marido ou que o filho, na ocasião do nascimento, beneficiou-se de posse de estado relativamente a ambos os cônjuges (art. 1831°, n° 1, CC). </w:t>
      </w:r>
    </w:p>
    <w:p w14:paraId="068E4C4D" w14:textId="073607EE" w:rsidR="00352016" w:rsidRDefault="00352016" w:rsidP="00352016">
      <w:pPr>
        <w:pStyle w:val="corpo"/>
      </w:pPr>
      <w:r>
        <w:t xml:space="preserve">Importante ressaltar que, configura-se a posse de estado, relativamente aos cônjuges, nos termos do artigo 1831°, n° 2, CC, quando </w:t>
      </w:r>
      <w:r w:rsidR="004E64B5">
        <w:t>o indivíduo</w:t>
      </w:r>
      <w:r>
        <w:t xml:space="preserve"> é reputad</w:t>
      </w:r>
      <w:r w:rsidR="004E64B5">
        <w:t>o</w:t>
      </w:r>
      <w:r>
        <w:t xml:space="preserve"> e tratad</w:t>
      </w:r>
      <w:r w:rsidR="004E64B5">
        <w:t>o</w:t>
      </w:r>
      <w:r>
        <w:t xml:space="preserve"> como filho por ambos os cônjuges, e também ser reputad</w:t>
      </w:r>
      <w:r w:rsidR="004E64B5">
        <w:t>o</w:t>
      </w:r>
      <w:r>
        <w:t xml:space="preserve"> como tal nas relações sociais, especialmente nas respectivas famílias.   </w:t>
      </w:r>
    </w:p>
    <w:p w14:paraId="1C11ED15" w14:textId="7BC37BA2" w:rsidR="00352016" w:rsidRDefault="00352016" w:rsidP="00352016">
      <w:pPr>
        <w:pStyle w:val="corpo"/>
      </w:pPr>
      <w:r>
        <w:t>Ademais, o Código Civil trata da dupla presunção de paternidade em seu artigo 1834°, n° 1. Esse é um caso em que o filho nasce depois de a mãe ter contraído novo casamento sem que o primeiro se achasse dissolvido ou dentro dos 300 dias após a sua dissolução, h</w:t>
      </w:r>
      <w:r w:rsidR="00DA4D20">
        <w:t>avendo</w:t>
      </w:r>
      <w:r>
        <w:t xml:space="preserve"> a presunção de que o pai é o segundo marido. Trata-se de situações em que a mãe praticou o ato de bigamia ou realizou um novo casamento sem respeitar o prazo </w:t>
      </w:r>
      <w:proofErr w:type="spellStart"/>
      <w:r>
        <w:t>internupcial</w:t>
      </w:r>
      <w:proofErr w:type="spellEnd"/>
      <w:r>
        <w:t>, que está previsto no artigo 1605°, CC. Ness</w:t>
      </w:r>
      <w:r w:rsidR="00DA4D20">
        <w:t>as situações</w:t>
      </w:r>
      <w:r>
        <w:t xml:space="preserve">, houve uma opção legislativa pela presunção recair no segundo marido, em razão da maior probabilidade de ser ele o pai da criança.  </w:t>
      </w:r>
    </w:p>
    <w:p w14:paraId="76C10090" w14:textId="565BAFB8" w:rsidR="00352016" w:rsidRDefault="00352016" w:rsidP="00352016">
      <w:pPr>
        <w:pStyle w:val="corpo"/>
      </w:pPr>
      <w:r>
        <w:t xml:space="preserve">Abordaremos agora a segunda forma de estabelecimento da paternidade mencionada anteriormente: a perfilhação. Esta é uma forma de reconhecimento da paternidade conferida aos filhos nascidos ou concebidos fora do matrimônio, nos termos do artigo 1847°, CC. A perfilhação é um instrumento reservado aos filhos extramatrimoniais, pois do contrário haveria a presunção de paternidade, </w:t>
      </w:r>
      <w:r w:rsidR="00E00424">
        <w:t xml:space="preserve">o </w:t>
      </w:r>
      <w:r>
        <w:t xml:space="preserve">que dispensaria qualquer </w:t>
      </w:r>
      <w:r w:rsidR="00E00424">
        <w:t>ato pelo pai</w:t>
      </w:r>
      <w:r>
        <w:t>.</w:t>
      </w:r>
    </w:p>
    <w:p w14:paraId="653F8E85" w14:textId="365EF019" w:rsidR="00352016" w:rsidRDefault="00352016" w:rsidP="00352016">
      <w:pPr>
        <w:pStyle w:val="corpo"/>
      </w:pPr>
      <w:r>
        <w:t xml:space="preserve">O instituto da perfilhação está previsto nos artigos 1849° a 1863° do CC, e tem como características a pessoalidade e a liberdade do perfilhante. No entanto, é possível realizar-se a perfilhação através de um procurador com poderes especiais, o que não significa que </w:t>
      </w:r>
      <w:r w:rsidR="008A35BC">
        <w:t>o ato</w:t>
      </w:r>
      <w:r>
        <w:t xml:space="preserve"> perderá a qualidade da pessoalidade</w:t>
      </w:r>
      <w:r w:rsidR="00F20A7B">
        <w:t>. A</w:t>
      </w:r>
      <w:r>
        <w:t xml:space="preserve"> procuração deverá trazer de forma expressa e específica </w:t>
      </w:r>
      <w:r w:rsidR="00F20A7B">
        <w:t xml:space="preserve">os poderes para </w:t>
      </w:r>
      <w:r>
        <w:t>a manifestação de vontade do mandante ou perfilhante, em relação ao ato de perfilhação.</w:t>
      </w:r>
    </w:p>
    <w:p w14:paraId="524B680C" w14:textId="01CA4005" w:rsidR="00352016" w:rsidRDefault="00352016" w:rsidP="00352016">
      <w:pPr>
        <w:pStyle w:val="corpo"/>
      </w:pPr>
      <w:r>
        <w:t xml:space="preserve">Quanto ao fato </w:t>
      </w:r>
      <w:proofErr w:type="gramStart"/>
      <w:r>
        <w:t>da</w:t>
      </w:r>
      <w:proofErr w:type="gramEnd"/>
      <w:r>
        <w:t xml:space="preserve"> perfilhação ter um caráter livre, a lei leva em consideração que a manifestação de vontade não pode estar contaminada por vícios da vontade, e nem pode ser feita por quem não tenha a livre disposição de manifestar sua vontade. Assim, o ato pode ser anulável por erro ou coação moral, nas hipóteses previstas no artigo 1860°, CC. Além desses casos, há também a possibilidade </w:t>
      </w:r>
      <w:proofErr w:type="gramStart"/>
      <w:r>
        <w:t>do</w:t>
      </w:r>
      <w:proofErr w:type="gramEnd"/>
      <w:r>
        <w:t xml:space="preserve"> ato ser anulável por incapacidade do perfilhante a pedido deste ou de seus pais ou tutor, conforme previsão do artigo 1861°, CC.</w:t>
      </w:r>
    </w:p>
    <w:p w14:paraId="31E36522" w14:textId="77777777" w:rsidR="00352016" w:rsidRDefault="00352016" w:rsidP="00352016">
      <w:pPr>
        <w:pStyle w:val="corpo"/>
      </w:pPr>
      <w:r>
        <w:t>A perfilhação é ato irrevogável, ou seja, caso o pai tenha reconhecido seu filho de forma livre e espontânea, ele não poderá revogar essa manifestação de vontade no futuro, salvo os casos de vícios do consentimento. Assim, até nos casos em que a perfilhação é feita através de testamento, ela não é prejudicada pela revogação deste (art. 1858°, CC).</w:t>
      </w:r>
    </w:p>
    <w:p w14:paraId="7BAB9BD8" w14:textId="4997C08C" w:rsidR="00352016" w:rsidRDefault="00352016" w:rsidP="00352016">
      <w:pPr>
        <w:pStyle w:val="corpo"/>
      </w:pPr>
      <w:r>
        <w:t xml:space="preserve">A perfilhação pode ser procedida mesmo nos casos em que a maternidade do </w:t>
      </w:r>
      <w:r w:rsidR="00E53A72">
        <w:t>indivíduo</w:t>
      </w:r>
      <w:r>
        <w:t xml:space="preserve"> não</w:t>
      </w:r>
      <w:r w:rsidR="009E7764">
        <w:t xml:space="preserve"> esteja</w:t>
      </w:r>
      <w:r>
        <w:t xml:space="preserve"> declarada no registo (art. 1851°, CC). Esta previsão legal baseia-se no Princípio da divisibilidade do estado do filho nascido fora do casamento dos progenitores. Mencionado princípio tem o intuito de não prejudicar os filhos</w:t>
      </w:r>
      <w:r w:rsidR="001C2475">
        <w:t>,</w:t>
      </w:r>
      <w:r>
        <w:t xml:space="preserve"> que querem ter sua paternidade estabelecida, </w:t>
      </w:r>
      <w:r w:rsidR="001C2475">
        <w:t xml:space="preserve">principalmente </w:t>
      </w:r>
      <w:r w:rsidR="001E4A5B">
        <w:t xml:space="preserve">àqueles em </w:t>
      </w:r>
      <w:r>
        <w:t xml:space="preserve">que a maternidade não foi declarada em seu registo. O fato de não constar a maternidade no registo não deve prejudicar a identificação do pai do perfilhado. </w:t>
      </w:r>
    </w:p>
    <w:p w14:paraId="0186AD27" w14:textId="176DDF4A" w:rsidR="00352016" w:rsidRDefault="00352016" w:rsidP="00352016">
      <w:pPr>
        <w:pStyle w:val="corpo"/>
      </w:pPr>
      <w:r>
        <w:t xml:space="preserve">A perfilhação não tem um momento exato a ser realizada. A lei confere um período amplo para que o perfilhante possa reconhecer seu filho, a fim de que este não fique sem a paternidade estabelecida. Assim, o artigo 1854°, CC determina que a perfilhação pode ser feita a todo o tempo, antes ou depois do nascimento do filho ou depois da morte deste. </w:t>
      </w:r>
    </w:p>
    <w:p w14:paraId="26AD5210" w14:textId="6D1BD2FA" w:rsidR="00352016" w:rsidRDefault="00352016" w:rsidP="00352016">
      <w:pPr>
        <w:pStyle w:val="corpo"/>
      </w:pPr>
      <w:r>
        <w:t xml:space="preserve">Na situação da perfilhação do filho falecido ou </w:t>
      </w:r>
      <w:r w:rsidRPr="005A2657">
        <w:rPr>
          <w:i/>
          <w:iCs/>
        </w:rPr>
        <w:t>post mortem</w:t>
      </w:r>
      <w:r>
        <w:t xml:space="preserve">, ela só produzirá efeitos em favor dos seus descendentes (art. 1856°, CC). Houve o intuito do legislador em impedir que o perfilhante pudesse se valer da herança do filho, já que o pretenso pai apenas manifestou seu interesse após a morte </w:t>
      </w:r>
      <w:proofErr w:type="gramStart"/>
      <w:r>
        <w:t>dele.</w:t>
      </w:r>
      <w:proofErr w:type="gramEnd"/>
      <w:r>
        <w:t xml:space="preserve"> No entanto, a perfilhação nesse caso ainda se justifica em face dos interesses morais que lhe estão subjacentes.             </w:t>
      </w:r>
    </w:p>
    <w:p w14:paraId="6231FFAF" w14:textId="023B933E" w:rsidR="00352016" w:rsidRDefault="00352016" w:rsidP="00352016">
      <w:pPr>
        <w:pStyle w:val="corpo"/>
      </w:pPr>
      <w:r>
        <w:t>No tocante à forma, segundo o artigo 1853°, CC, a perfilhação pode ser feita: a) por declaração prestada perante o funcionário do registo civil; b) por testamento; c) por escritura pública; d) por termo lavrado em juízo. Quanto ao testamento, este instrumento tem um caráter essencialmente patrimonial</w:t>
      </w:r>
      <w:r w:rsidR="008B1B59">
        <w:t>, mas,</w:t>
      </w:r>
      <w:r>
        <w:t xml:space="preserve"> a lei autoriza que a perfilhação</w:t>
      </w:r>
      <w:r w:rsidR="008B1B59">
        <w:t xml:space="preserve"> </w:t>
      </w:r>
      <w:r>
        <w:t xml:space="preserve">possa ser realizada por testamento. </w:t>
      </w:r>
    </w:p>
    <w:p w14:paraId="332ADA0B" w14:textId="48D2FD84" w:rsidR="00352016" w:rsidRDefault="00352016" w:rsidP="00352016">
      <w:pPr>
        <w:pStyle w:val="corpo"/>
      </w:pPr>
      <w:r>
        <w:t xml:space="preserve">O artigo 2179°, n° 2 corrobora com esse entendimento ao mencionar que as disposições de caráter não patrimonial que a lei permite </w:t>
      </w:r>
      <w:r w:rsidR="002770CD">
        <w:t xml:space="preserve">serem </w:t>
      </w:r>
      <w:r>
        <w:t>inseri</w:t>
      </w:r>
      <w:r w:rsidR="002770CD">
        <w:t>das</w:t>
      </w:r>
      <w:r>
        <w:t xml:space="preserve"> no testamento são válidas</w:t>
      </w:r>
      <w:r w:rsidR="002770CD">
        <w:t>,</w:t>
      </w:r>
      <w:r>
        <w:t xml:space="preserve"> se fizerem parte de um </w:t>
      </w:r>
      <w:proofErr w:type="spellStart"/>
      <w:r>
        <w:t>acto</w:t>
      </w:r>
      <w:proofErr w:type="spellEnd"/>
      <w:r>
        <w:t xml:space="preserve"> revestido de forma testamentária</w:t>
      </w:r>
      <w:r w:rsidR="00945F6A">
        <w:t>. Além disso</w:t>
      </w:r>
      <w:r>
        <w:t>, a perfilhação, quando realizada através d</w:t>
      </w:r>
      <w:r w:rsidR="0075287A">
        <w:t>e</w:t>
      </w:r>
      <w:r>
        <w:t xml:space="preserve"> testamento, tem a vantagem de se manter em segredo até a morte do perfilhante. Importante lembrar que a lei prevê a incapacidade para testar aos menores de 16 ou 17 anos não emancipados (art. 2189°, alínea a, CC).</w:t>
      </w:r>
    </w:p>
    <w:p w14:paraId="0DFBA4BA" w14:textId="7D5806A4" w:rsidR="00352016" w:rsidRDefault="00352016" w:rsidP="00352016">
      <w:pPr>
        <w:pStyle w:val="corpo"/>
      </w:pPr>
      <w:r>
        <w:t xml:space="preserve">Em relação à perfilhação </w:t>
      </w:r>
      <w:proofErr w:type="spellStart"/>
      <w:r>
        <w:t>por</w:t>
      </w:r>
      <w:proofErr w:type="spellEnd"/>
      <w:r>
        <w:t xml:space="preserve"> termo lavrado em juízo, esta ocorrerá quando, durante a averiguação oficiosa, o investigado reconheça voluntariamente a paternidade que lhe é atribuída (art. 1865°, n° 3, CC). A perfilhação </w:t>
      </w:r>
      <w:proofErr w:type="spellStart"/>
      <w:r>
        <w:t>por</w:t>
      </w:r>
      <w:proofErr w:type="spellEnd"/>
      <w:r>
        <w:t xml:space="preserve"> termo lavrado em juízo também ocorre nos casos de reconhecimento de paternidade judicial previstos nos artigos 1869°, CC e seguintes, nas situações em que o pai reconheça a paternidade de seu filho.      </w:t>
      </w:r>
    </w:p>
    <w:p w14:paraId="09EB270D" w14:textId="77777777" w:rsidR="00352016" w:rsidRDefault="00352016" w:rsidP="00352016">
      <w:pPr>
        <w:pStyle w:val="corpo"/>
      </w:pPr>
      <w:r>
        <w:t xml:space="preserve">No caso da perfilhação do nascituro, há previsão expressa no artigo 1855°, CC, em que determina que esse reconhecimento só é válido se for posterior à concepção e o perfilhante identificar a mãe. Ademais, o assento dessa modalidade de perfilhação tem suas especificidades, já que exige além dos requisitos gerais, a indicação do nome completo, data de nascimento, estado, naturalidade, residência habitual e filiação da mãe do perfilhado, época da concepção e data provável do parto (art. 132°, n° 2, Código do Registo Civil). </w:t>
      </w:r>
    </w:p>
    <w:p w14:paraId="1D45C909" w14:textId="5995E5A8" w:rsidR="00352016" w:rsidRDefault="00040F16" w:rsidP="00352016">
      <w:pPr>
        <w:pStyle w:val="corpo"/>
      </w:pPr>
      <w:r>
        <w:t>A</w:t>
      </w:r>
      <w:r w:rsidR="00D024BB">
        <w:t>i</w:t>
      </w:r>
      <w:r w:rsidR="00352016">
        <w:t>nda no caso da perfilhação do nascituro, há que se observar se a concepção foi antes ou depois da perfilhação, pois a lei só permite esta</w:t>
      </w:r>
      <w:r w:rsidR="005D74BF">
        <w:t xml:space="preserve"> hipótese </w:t>
      </w:r>
      <w:r w:rsidR="00352016">
        <w:t xml:space="preserve">nos casos em que a concepção ocorreu em momento anterior. Assim, se pela data do nascimento se verificar ser a concepção posterior à perfilhação, deve o conservador comunicar o facto ao Ministério Público para, se for caso disso, requerer a declaração de nulidade do </w:t>
      </w:r>
      <w:proofErr w:type="spellStart"/>
      <w:r w:rsidR="00352016">
        <w:t>acto</w:t>
      </w:r>
      <w:proofErr w:type="spellEnd"/>
      <w:r w:rsidR="00352016">
        <w:t xml:space="preserve"> (art. 132°, n° 3, Código do Registo Civil).    </w:t>
      </w:r>
    </w:p>
    <w:p w14:paraId="193E114C" w14:textId="3E1FFC0D" w:rsidR="00352016" w:rsidRDefault="00352016" w:rsidP="00352016">
      <w:pPr>
        <w:pStyle w:val="corpo"/>
      </w:pPr>
      <w:r>
        <w:t xml:space="preserve">Mais adiante, temos a previsão da perfilhação de maiores (art. 1857°, CC). A lei engloba nessa situação os maiores, emancipados ou filho </w:t>
      </w:r>
      <w:proofErr w:type="spellStart"/>
      <w:r>
        <w:t>predefunto</w:t>
      </w:r>
      <w:proofErr w:type="spellEnd"/>
      <w:r>
        <w:t xml:space="preserve"> de quem vivam descendentes maiores ou emancipados. Nesse caso</w:t>
      </w:r>
      <w:r w:rsidR="00560838">
        <w:t>,</w:t>
      </w:r>
      <w:r>
        <w:t xml:space="preserve"> há uma exigência legal específica que é o assentimento do perfilhado ou de seus descendentes, desde que sejam maiores ou emancipados. </w:t>
      </w:r>
      <w:r w:rsidR="00560838">
        <w:t>Nesses termos</w:t>
      </w:r>
      <w:r>
        <w:t xml:space="preserve">, o assento de perfilhação deve mencionar o assentimento do perfilhado, se for maior ou emancipado, ou dos seus descendentes, se for </w:t>
      </w:r>
      <w:proofErr w:type="spellStart"/>
      <w:r>
        <w:t>pré</w:t>
      </w:r>
      <w:proofErr w:type="spellEnd"/>
      <w:r>
        <w:t xml:space="preserve">-defunto (art. 130°, n° 2, Código do Registo Civil).  </w:t>
      </w:r>
    </w:p>
    <w:p w14:paraId="7D2A5ED5" w14:textId="77777777" w:rsidR="00352016" w:rsidRDefault="00352016" w:rsidP="00352016">
      <w:pPr>
        <w:pStyle w:val="corpo"/>
      </w:pPr>
      <w:r>
        <w:t>O assentimento pode ser dado antes ou depois da perfilhação, ainda que o perfilhante tenha falecido, através das seguintes formas: a) por declaração prestada perante o funcionário do registo civil, averbada no assento de nascimento, e no de perfilhação, se existir; b) por documento autêntico ou autenticado; c) por termo lavrado em juízo no processo em que haja sido feita a perfilhação.</w:t>
      </w:r>
    </w:p>
    <w:p w14:paraId="5D85037E" w14:textId="77777777" w:rsidR="00352016" w:rsidRDefault="00352016" w:rsidP="00352016">
      <w:pPr>
        <w:pStyle w:val="corpo"/>
      </w:pPr>
      <w:r>
        <w:t xml:space="preserve">O registo de perfilhação é considerado secreto até o momento em que é prestado o assentimento necessário (art. 1857°, n° 3, CC). A eficácia do assento depende do assentimento, e o registo considera-se secreto enquanto o assentimento não for averbado (art. 131°, n° 2, Código do Registo Civil). Em razão desse caráter secreto, a lei autoriza a qualquer interessado, o direito de requerer judicialmente a notificação pessoal do perfilhando, dos seus descendentes ou dos seus representantes legais, para declararem, no prazo de 30 dias, se dão o seu assentimento à perfilhação, considerando-se esta aceita no caso de falta de resposta e sendo cancelado o registo no caso de recusa (art. 1857°, n° 4, CC). </w:t>
      </w:r>
    </w:p>
    <w:p w14:paraId="52E3EB30" w14:textId="27D227D1" w:rsidR="00352016" w:rsidRDefault="00352016" w:rsidP="00352016">
      <w:pPr>
        <w:pStyle w:val="corpo"/>
      </w:pPr>
      <w:r>
        <w:t xml:space="preserve">Adentraremos agora na última forma de estabelecimento de paternidade: o reconhecimento judicial. O reconhecimento judicial da paternidade é uma outra forma de se estabelecer a paternidade de um filho nascido fora do matrimônio. Nos casos do estabelecimento da filiação em que não se consegue fixá-la através da perfilhação ou da conclusão do processo administrativo ou judicial de averiguação oficiosa é possível a obtenção por ação especialmente proposta pelo filho. </w:t>
      </w:r>
      <w:r w:rsidR="00DB0F58">
        <w:t>N</w:t>
      </w:r>
      <w:r>
        <w:t xml:space="preserve">os termos do artigo 1869°, do CC, a paternidade pode ser reconhecida em ação especialmente intentada pelo filho, caso a maternidade já esteja estabelecida ou for pedido conjuntamente por ambos os reconhecimentos. De forma diversa ocorre na perfilhação, em que não há a exigência do estabelecimento da maternidade para que o perfilhante reconheça seu filho. </w:t>
      </w:r>
    </w:p>
    <w:p w14:paraId="0CC2784B" w14:textId="2B2B9DB5" w:rsidR="00352016" w:rsidRDefault="00DB0F58" w:rsidP="00352016">
      <w:pPr>
        <w:pStyle w:val="corpo"/>
      </w:pPr>
      <w:r>
        <w:t>É</w:t>
      </w:r>
      <w:r w:rsidR="00352016">
        <w:t xml:space="preserve"> importante ressaltar que, conforme o artigo 78° do Código do Registo Civil, o tribunal deve comunicar a qualquer conservatória do registo civil as decisões proferidas em ações respeitantes a fatos sujeitos a registo que devam ser averbados.</w:t>
      </w:r>
    </w:p>
    <w:p w14:paraId="1B8D7F49" w14:textId="007783DF" w:rsidR="00352016" w:rsidRDefault="00352016" w:rsidP="00352016">
      <w:pPr>
        <w:pStyle w:val="corpo"/>
      </w:pPr>
      <w:r>
        <w:t>A ação de investigação de paternidade pode ser proposta pelo filho contra o pretenso pai, no momento em que aquele ainda é menor ou no prazo de 10 anos após sua maioridade ou emancipação. No caso de falecimento do filho investigante</w:t>
      </w:r>
      <w:r w:rsidR="00DB0F58">
        <w:t>,</w:t>
      </w:r>
      <w:r>
        <w:t xml:space="preserve"> enquanto perdurar a ação, há a possibilidade de alguns legitimados prosseguirem n</w:t>
      </w:r>
      <w:r w:rsidR="00DB0F58">
        <w:t>ela,</w:t>
      </w:r>
      <w:r>
        <w:t xml:space="preserve"> como o cônjuge não separado judicialmente ou seus descendentes, nos termos dos artigos 1873°, 1817° a 1819°, CC.</w:t>
      </w:r>
    </w:p>
    <w:p w14:paraId="1E58C32D" w14:textId="77777777" w:rsidR="00352016" w:rsidRDefault="00352016" w:rsidP="00352016">
      <w:pPr>
        <w:pStyle w:val="corpo"/>
      </w:pPr>
      <w:r>
        <w:t xml:space="preserve">Em Portugal, existe também a figura da coligação de investigantes, em que é permitida a união dos investigantes filhos da mesma mãe, quanto ao mesmo pretenso pai, para se ingressar com uma única ação de investigação de paternidade (art. 1872°, CC).   </w:t>
      </w:r>
    </w:p>
    <w:p w14:paraId="4E445CE7" w14:textId="290EA062" w:rsidR="00352016" w:rsidRDefault="00135828" w:rsidP="00352016">
      <w:pPr>
        <w:pStyle w:val="corpo"/>
      </w:pPr>
      <w:r>
        <w:t xml:space="preserve">Em relação </w:t>
      </w:r>
      <w:r w:rsidR="00352016">
        <w:t>aos filhos menores, a lei estabelece que eles necessitam de capacidade para o exercício de direitos (art. 123°, CC). Aliás, tanto os menores quanto os incapazes só podem estar em juízo</w:t>
      </w:r>
      <w:r w:rsidR="00135C8F">
        <w:t>,</w:t>
      </w:r>
      <w:r w:rsidR="00352016">
        <w:t xml:space="preserve"> desde que juntamente de seus representantes, ou autorizados pelo seu curador, nos termos do que dispõe o artigo 16°, do Código de Processo Civil. </w:t>
      </w:r>
    </w:p>
    <w:p w14:paraId="2FACF5AB" w14:textId="77777777" w:rsidR="00352016" w:rsidRDefault="00352016" w:rsidP="00352016">
      <w:pPr>
        <w:pStyle w:val="corpo"/>
      </w:pPr>
      <w:r>
        <w:t xml:space="preserve">Entretanto, há uma exceção na lei nos casos da legitimidade da mãe menor. Esta tem legitimidade para intentar ação representando o filho sem a necessidade de autorização dos seus pais, mas é sempre representada na causa por curador especial nomeado pelo tribunal (art. 1870°, CC). Verifica-se que essa exceção advém do fato de ser a mãe a melhor pessoa para se identificar o pai da criança, independentemente de ser ela menor. </w:t>
      </w:r>
    </w:p>
    <w:p w14:paraId="19595C3E" w14:textId="34DC3BF6" w:rsidR="00352016" w:rsidRDefault="00352016" w:rsidP="00352016">
      <w:pPr>
        <w:pStyle w:val="corpo"/>
      </w:pPr>
      <w:r>
        <w:t xml:space="preserve">De outra forma, como o menor com 16 anos tem capacidade para perfilhar, entende-se que a mãe nessa idade já poderia ingressar com ação de investigação de paternidade. </w:t>
      </w:r>
      <w:r w:rsidR="00135C8F">
        <w:t xml:space="preserve">E, </w:t>
      </w:r>
      <w:r>
        <w:t>sendo a mãe menor d</w:t>
      </w:r>
      <w:r w:rsidR="00135C8F">
        <w:t>e</w:t>
      </w:r>
      <w:r>
        <w:t xml:space="preserve"> 16 anos, justifica-se que ela possa propor ação de investigação de paternidade sem a representação de seus pais. Nesse caso, haverá a nomeação do curador especial que auxiliará na falta de preparação da mãe para defender os interesses do seu filho.   </w:t>
      </w:r>
    </w:p>
    <w:p w14:paraId="14347611" w14:textId="458EF511" w:rsidR="00352016" w:rsidRDefault="00352016" w:rsidP="00352016">
      <w:pPr>
        <w:pStyle w:val="corpo"/>
      </w:pPr>
      <w:r>
        <w:t xml:space="preserve">Importante ressaltar que, tanto nas ações de investigação de maternidade quanto na de paternidade, o filho menor, interdito ou inabilitado tem direito a alimentos provisórios desde a propositura da ação de investigação, nos casos em que o tribunal considere provável o reconhecimento da paternidade ao final da ação (art. 1873° e 1821°, CC). Além do que, nas hipóteses em que o pai não é casado com a mãe do filho, ele é obrigado a prestar alimentos relativos ao período da gravidez e ao primeiro ano de vida do filho, desde a data da fixação da paternidade (art. 1884°, n° 1, CC). </w:t>
      </w:r>
      <w:r w:rsidR="0052085B">
        <w:t xml:space="preserve">Assim, </w:t>
      </w:r>
      <w:r>
        <w:t xml:space="preserve">a mãe também fará jus às indenizações a que por lei ela tenha direito.   </w:t>
      </w:r>
    </w:p>
    <w:p w14:paraId="3BA21EDA" w14:textId="77777777" w:rsidR="00352016" w:rsidRDefault="00352016" w:rsidP="00352016">
      <w:pPr>
        <w:pStyle w:val="corpo"/>
      </w:pPr>
      <w:r>
        <w:t xml:space="preserve">No entanto, caso a ação de investigação de paternidade seja improcedente, o filho não terá que restituir tudo o que recebeu a título de alimentos, em razão de ter esse o caráter de irrepetibilidade (art. 2007°, n° 2, CC). </w:t>
      </w:r>
    </w:p>
    <w:p w14:paraId="55865F45" w14:textId="4ED7D7AA" w:rsidR="00352016" w:rsidRDefault="00352016" w:rsidP="00352016">
      <w:pPr>
        <w:pStyle w:val="corpo"/>
      </w:pPr>
      <w:r>
        <w:t xml:space="preserve">Atualmente o artigo 1801°, CC autoriza que, nas ações de investigação de paternidade, a prova possa ser feita por exames de sangue ou outros métodos científicos. Mesmo com essa normativa, a lei enumerou diversas presunções </w:t>
      </w:r>
      <w:r w:rsidR="00BC396E">
        <w:t>de paternidade</w:t>
      </w:r>
      <w:r>
        <w:t xml:space="preserve">. </w:t>
      </w:r>
      <w:r w:rsidR="00BC396E">
        <w:t>O</w:t>
      </w:r>
      <w:r>
        <w:t xml:space="preserve"> artigo 1871°, CC elenca situações de fato que, quando se verificam constituem fundamento de presunções legais de paternidade: posse do estado de filho, declaração escrita do pretenso pai em que assume a paternidade, união de fato entre a mãe e o pretenso pai, relações sexuais havidas entre a mãe e o pretenso pai no período legal da concepção.   </w:t>
      </w:r>
    </w:p>
    <w:p w14:paraId="1F01BE3F" w14:textId="2FFBE488" w:rsidR="00352016" w:rsidRDefault="00BC396E" w:rsidP="00352016">
      <w:pPr>
        <w:pStyle w:val="corpo"/>
      </w:pPr>
      <w:r>
        <w:t xml:space="preserve">Quanto </w:t>
      </w:r>
      <w:r w:rsidR="00352016">
        <w:t>à averiguação oficiosa da paternidade, esta pode resultar no estabelecimento da paternidade através da perfilhação ou do reconhecimento judicial.</w:t>
      </w:r>
      <w:r w:rsidR="00352016" w:rsidRPr="00740A4E">
        <w:t xml:space="preserve"> </w:t>
      </w:r>
      <w:r w:rsidR="00352016">
        <w:t>A averiguação oficiosa é imposta pelo Estado nos casos em que a paternidade é desconhecida, sob o argumento de que todo o filho tem o direito de conhecer seu pai. Esse é um direito fundamental do filho em ter estabelecida sua paternidade. Assim, cabe ao Estado, quando necessário, tomar atitudes a fim de se averiguar oficiosamente a paternidade.</w:t>
      </w:r>
    </w:p>
    <w:p w14:paraId="20EC4B1C" w14:textId="77777777" w:rsidR="00352016" w:rsidRDefault="00352016" w:rsidP="00352016">
      <w:pPr>
        <w:pStyle w:val="corpo"/>
      </w:pPr>
      <w:r>
        <w:t xml:space="preserve">Dessa forma, o procedimento nas Conservatórias do Registo Civil deve ser o seguinte: sempre que seja lavrado registro de nascimento de menor apenas com a maternidade estabelecida, o Registo Civil deve mandar certidão integral do registro ao tribunal, com o intuito de se averiguar oficiosamente a identidade do pai (artigo 1864°, CC e artigo 121° do Código de Registo Civil). </w:t>
      </w:r>
    </w:p>
    <w:p w14:paraId="240A2AF2" w14:textId="77777777" w:rsidR="00352016" w:rsidRDefault="00352016" w:rsidP="00352016">
      <w:pPr>
        <w:pStyle w:val="corpo"/>
      </w:pPr>
      <w:r>
        <w:t>Nesses casos, deve-se observar o disposto no artigo 1866° do Código Civil, em que se exigem certos requisitos para intentar a averiguação oficiosa da paternidade: a) não ser a mãe e o pretenso pai parentes ou afins em linha reta ou parentes no segundo grau da linha colateral; b) não ter decorrido mais de dois anos da data do nascimento.</w:t>
      </w:r>
    </w:p>
    <w:p w14:paraId="351E3B1D" w14:textId="77777777" w:rsidR="00352016" w:rsidRDefault="00352016" w:rsidP="00352016">
      <w:pPr>
        <w:pStyle w:val="corpo"/>
      </w:pPr>
      <w:r>
        <w:t xml:space="preserve">Em Portugal faz-se uma diferenciação do procedimento quanto aos filhos incestuosos: não é admitida a averiguação oficiosa da maternidade (art. 1809°, CC) ou da paternidade (art. 1866°, CC). Entende-se por filho incestuoso aquele provindo de relação sexual entre duas pessoas ligada pelos laços do parentesco ou da afinidade na linha reta, ou pelo vínculo do parentesco no segundo grau da linha colateral.  </w:t>
      </w:r>
    </w:p>
    <w:p w14:paraId="63CEA006" w14:textId="5D785973" w:rsidR="00352016" w:rsidRDefault="00352016" w:rsidP="00352016">
      <w:pPr>
        <w:pStyle w:val="corpo"/>
      </w:pPr>
      <w:r>
        <w:t>Além disso, o prazo de caducidade de dois anos para se intentar averiguação oficiosa tem o objetivo de fazer com que a instrução do processo</w:t>
      </w:r>
      <w:r w:rsidR="00242822">
        <w:t xml:space="preserve"> </w:t>
      </w:r>
      <w:r>
        <w:t>se desenvolva dentro de um período de tempo o mais próximo possível do nascimento da criança, a fim de que tenha maiores garantias para se chegar à verdade.</w:t>
      </w:r>
    </w:p>
    <w:p w14:paraId="08DDF3E1" w14:textId="075B1826" w:rsidR="00352016" w:rsidRDefault="00352016" w:rsidP="00352016">
      <w:pPr>
        <w:pStyle w:val="corpo"/>
      </w:pPr>
      <w:r>
        <w:t xml:space="preserve">Dentro do tribunal, tanto a mãe quanto o pretenso pai são ouvidos, sempre que possível (art. 1865°, n° 1 e 2, CC). Nos casos em que o presumido pai confirmar a paternidade será lavrado termo de perfilhação e remetida certidão para averbamento no Registo Civil competente (artigo 129°, do Código de Registo Civil). Em caso contrário, </w:t>
      </w:r>
      <w:r w:rsidR="00242822">
        <w:t xml:space="preserve">na hipótese </w:t>
      </w:r>
      <w:proofErr w:type="gramStart"/>
      <w:r w:rsidR="00242822">
        <w:t>d</w:t>
      </w:r>
      <w:r>
        <w:t>o</w:t>
      </w:r>
      <w:proofErr w:type="gramEnd"/>
      <w:r>
        <w:t xml:space="preserve"> pretenso pai negar a paternidade, o tribunal procederá às diligências necessárias para averiguar a viabilidade da ação de investigação de paternidade (art. 1865°, n° 4, CC). Ao término da instrução do processo, que tem caráter secreto para assegurar a dignidade dos envolvidos, cabe ao Ministério Público decidir sobre a viabilidade ou não, sendo que em caso afirmativo, ele deverá propor ação (art. 1865°, n° 5, CC).</w:t>
      </w:r>
    </w:p>
    <w:p w14:paraId="45E1AF38" w14:textId="6EC6FB0F" w:rsidR="00352016" w:rsidRDefault="00352016" w:rsidP="00352016">
      <w:pPr>
        <w:pStyle w:val="corpo"/>
      </w:pPr>
      <w:r>
        <w:t xml:space="preserve">Quanto ao prazo de caducidade de 2 anos da data do nascimento da criança para se averiguar oficiosamente a paternidade, este não se aplica ao Ministério Público. Isso não significa, porém, que </w:t>
      </w:r>
      <w:r w:rsidR="00601FBB">
        <w:t xml:space="preserve">ele </w:t>
      </w:r>
      <w:r>
        <w:t>não est</w:t>
      </w:r>
      <w:r w:rsidR="00601FBB">
        <w:t>á</w:t>
      </w:r>
      <w:r>
        <w:t xml:space="preserve"> sujeit</w:t>
      </w:r>
      <w:r w:rsidR="00601FBB">
        <w:t>o</w:t>
      </w:r>
      <w:r>
        <w:t xml:space="preserve"> ao prazo geral de caducidade previsto no artigo 1873°, CC, em virtude da remissão que este preceito faz para o artigo 1817°, CC. </w:t>
      </w:r>
      <w:r w:rsidR="00601FBB">
        <w:t>E,</w:t>
      </w:r>
      <w:r>
        <w:t xml:space="preserve"> em uma decisão de improcedência da averiguação oficiosa, isso não será obstáculo para a propositura de nova ação de investigação de paternidade, mesmo que fundada nos mesmos fatos (artigo 1813°, CC). </w:t>
      </w:r>
    </w:p>
    <w:p w14:paraId="7E0BBED2" w14:textId="77777777" w:rsidR="004B07D3" w:rsidRPr="004B07D3" w:rsidRDefault="004B07D3" w:rsidP="004B07D3">
      <w:pPr>
        <w:tabs>
          <w:tab w:val="left" w:pos="2070"/>
        </w:tabs>
        <w:rPr>
          <w:rFonts w:cs="Times New Roman"/>
          <w:b w:val="0"/>
          <w:color w:val="000000" w:themeColor="text1"/>
        </w:rPr>
      </w:pPr>
      <w:r w:rsidRPr="004B07D3">
        <w:rPr>
          <w:rFonts w:cs="Times New Roman"/>
          <w:b w:val="0"/>
          <w:color w:val="000000" w:themeColor="text1"/>
        </w:rPr>
        <w:tab/>
      </w:r>
    </w:p>
    <w:p w14:paraId="23A4896F" w14:textId="77777777" w:rsidR="0007653D" w:rsidRDefault="00E156BF" w:rsidP="0007653D">
      <w:pPr>
        <w:pStyle w:val="Ttulo2"/>
      </w:pPr>
      <w:bookmarkStart w:id="67" w:name="_Toc28034660"/>
      <w:r>
        <w:t xml:space="preserve">O </w:t>
      </w:r>
      <w:r w:rsidR="00451DBC">
        <w:t>Reconhecimento</w:t>
      </w:r>
      <w:r w:rsidR="0007653D">
        <w:t xml:space="preserve"> </w:t>
      </w:r>
      <w:r>
        <w:t>voluntário de filho e seus atributos</w:t>
      </w:r>
      <w:bookmarkEnd w:id="67"/>
    </w:p>
    <w:p w14:paraId="7A3926A3" w14:textId="77777777" w:rsidR="003A1787" w:rsidRDefault="003A1787" w:rsidP="003A1787"/>
    <w:p w14:paraId="7D8C27B5" w14:textId="77777777" w:rsidR="003A1787" w:rsidRDefault="003A1787" w:rsidP="003A1787">
      <w:pPr>
        <w:pStyle w:val="corpo"/>
      </w:pPr>
      <w:r>
        <w:t>O ato de reconhecimento de filho tem a intenção de constar a paternidade no registro. O reconhecimento de filho é ato jurídico em sentido estrito, personalíssimo, formal, incondicional, irrevogável, renunciável e retroativo que exige a manifestação de vontade, livre e consciente, por agente capaz que deve ser realizado nos termos da lei.</w:t>
      </w:r>
    </w:p>
    <w:p w14:paraId="04DC4B8F" w14:textId="79BDF0DD" w:rsidR="003A1787" w:rsidRDefault="003A1787" w:rsidP="003A1787">
      <w:pPr>
        <w:pStyle w:val="corpo"/>
      </w:pPr>
      <w:r>
        <w:t xml:space="preserve">Importante analisar o reconhecimento de filho quando </w:t>
      </w:r>
      <w:r w:rsidR="007B0768">
        <w:t>realizado</w:t>
      </w:r>
      <w:r>
        <w:t xml:space="preserve"> por agente incapaz, absoluta ou relativamente. Como o reconhecimento de filho é</w:t>
      </w:r>
      <w:r w:rsidR="001F45B8">
        <w:t xml:space="preserve"> um</w:t>
      </w:r>
      <w:r>
        <w:t xml:space="preserve"> “ato personalíssimo, que não admite influência externa”</w:t>
      </w:r>
      <w:r>
        <w:rPr>
          <w:rStyle w:val="Refdenotaderodap"/>
          <w:szCs w:val="24"/>
        </w:rPr>
        <w:footnoteReference w:id="103"/>
      </w:r>
      <w:r>
        <w:t xml:space="preserve">, não se deve utilizar dos institutos da representação ou assistência. Nesses termos, em Portugal, a legislação civil normatiza essa regra no artigo 1850°, n° 2, CC quando menciona que os menores não necessitam, para perfilhar, de autorização dos pais ou tutores. </w:t>
      </w:r>
    </w:p>
    <w:p w14:paraId="124B69B8" w14:textId="3E37273D" w:rsidR="003A1787" w:rsidRDefault="003A1787" w:rsidP="003A1787">
      <w:pPr>
        <w:pStyle w:val="corpo"/>
      </w:pPr>
      <w:r>
        <w:t xml:space="preserve">No Brasil, </w:t>
      </w:r>
      <w:r w:rsidR="00F3160C">
        <w:t>os casos</w:t>
      </w:r>
      <w:r>
        <w:t xml:space="preserve"> de </w:t>
      </w:r>
      <w:r w:rsidR="00F3160C">
        <w:t xml:space="preserve">reconhecimento de filho por pais </w:t>
      </w:r>
      <w:r>
        <w:t>absolutamente incapaz</w:t>
      </w:r>
      <w:r w:rsidR="00F3160C">
        <w:t>es</w:t>
      </w:r>
      <w:r>
        <w:t xml:space="preserve"> depende</w:t>
      </w:r>
      <w:r w:rsidR="00F3160C">
        <w:t>m</w:t>
      </w:r>
      <w:r>
        <w:t xml:space="preserve"> de </w:t>
      </w:r>
      <w:r w:rsidR="002E1519">
        <w:t>autorização</w:t>
      </w:r>
      <w:r>
        <w:t xml:space="preserve"> judicial. Ness</w:t>
      </w:r>
      <w:r w:rsidR="00111BD1">
        <w:t xml:space="preserve">a hipótese </w:t>
      </w:r>
      <w:r>
        <w:t xml:space="preserve">não é possível o reconhecimento de paternidade através da representação do menor pelo seu responsável. Quanto aos relativamente incapazes, a lei os beneficia. Eles podem praticar o ato de reconhecimento de filho de forma autônoma e independente de assistência de seus representantes legais, </w:t>
      </w:r>
      <w:r w:rsidR="00111BD1">
        <w:t>em razão de</w:t>
      </w:r>
      <w:r>
        <w:t xml:space="preserve"> ser um ato personalíssimo. Pode-se extrair esse entendimento do artigo 6°, parágrafo 4°, do Provimento n° 16/2012, do CNJ: “o reconhecimento de filho por pessoa relativamente incapaz independerá de assistência de seus pais, tutor ou curador”. </w:t>
      </w:r>
    </w:p>
    <w:p w14:paraId="7223773B" w14:textId="1E4B171B" w:rsidR="003A1787" w:rsidRDefault="003A1787" w:rsidP="003A1787">
      <w:pPr>
        <w:pStyle w:val="corpo"/>
      </w:pPr>
      <w:r>
        <w:t>Outro importante atributo do reconhecimento de filho é a irrevogabilidade. O ato de reconhecimento é irrevogável, ressalvado os casos de vício de consentimento. Além dess</w:t>
      </w:r>
      <w:r w:rsidR="00885240">
        <w:t>a possibilidade de revogação,</w:t>
      </w:r>
      <w:r>
        <w:t xml:space="preserve"> há também </w:t>
      </w:r>
      <w:r w:rsidR="00885240">
        <w:t>outra hipótese</w:t>
      </w:r>
      <w:r w:rsidR="00462EDE">
        <w:t xml:space="preserve"> nos casos</w:t>
      </w:r>
      <w:r w:rsidR="00885240">
        <w:t xml:space="preserve"> de reconhecimento socioafetivo: quando </w:t>
      </w:r>
      <w:r>
        <w:t>demonstra</w:t>
      </w:r>
      <w:r w:rsidR="00885240">
        <w:t>da a</w:t>
      </w:r>
      <w:r>
        <w:t xml:space="preserve"> ausência de relação de socioafetividade entre pai e filho. Nos termos da jurisprudência do Superior Tribunal de Justiça brasileiro “</w:t>
      </w:r>
      <w:r w:rsidR="003B328F">
        <w:t>(</w:t>
      </w:r>
      <w:r>
        <w:t>...</w:t>
      </w:r>
      <w:r w:rsidR="003B328F">
        <w:t>)</w:t>
      </w:r>
      <w:r>
        <w:t xml:space="preserve"> mesmo na ausência de ascendência genética, o registro realizado de forma consciente e espontânea consolida a filiação socioafetiva, que deve ter reconhecimento e amparo jurídico</w:t>
      </w:r>
      <w:r>
        <w:rPr>
          <w:rStyle w:val="Refdenotaderodap"/>
          <w:szCs w:val="24"/>
        </w:rPr>
        <w:footnoteReference w:id="104"/>
      </w:r>
      <w:r>
        <w:t>”. Desde 2007, o STJ</w:t>
      </w:r>
      <w:r>
        <w:rPr>
          <w:rStyle w:val="Refdenotaderodap"/>
          <w:szCs w:val="24"/>
        </w:rPr>
        <w:footnoteReference w:id="105"/>
      </w:r>
      <w:r>
        <w:t xml:space="preserve"> já declarava: </w:t>
      </w:r>
    </w:p>
    <w:p w14:paraId="55A205E6" w14:textId="77777777" w:rsidR="003A1787" w:rsidRDefault="003A1787" w:rsidP="003A1787">
      <w:pPr>
        <w:tabs>
          <w:tab w:val="left" w:pos="6108"/>
        </w:tabs>
        <w:rPr>
          <w:rFonts w:cs="Times New Roman"/>
        </w:rPr>
      </w:pPr>
    </w:p>
    <w:p w14:paraId="43C91EF2" w14:textId="500A6DE1" w:rsidR="003A1787" w:rsidRPr="005324DD" w:rsidRDefault="003A1787" w:rsidP="003A1787">
      <w:pPr>
        <w:pStyle w:val="SemEspaamento"/>
      </w:pPr>
      <w:r w:rsidRPr="005324DD">
        <w:t xml:space="preserve">O reconhecimento de paternidade é válido se reflete a existência duradoura do vínculo socioafetivo entre pais e filhos. A ausência de vínculo biológico é fato que por si só não revela a falsidade da declaração de vontade consubstanciada no ato do reconhecimento. A relação socioafetiva é fato que não pode ser, e não é desconhecido pelo Direito. </w:t>
      </w:r>
      <w:r w:rsidR="003B328F">
        <w:t>(</w:t>
      </w:r>
      <w:r w:rsidRPr="005324DD">
        <w:t>...</w:t>
      </w:r>
      <w:r w:rsidR="003B328F">
        <w:t>)</w:t>
      </w:r>
      <w:r w:rsidRPr="005324DD">
        <w:t xml:space="preserve"> O STJ vem dando prioridade ao critério biológico para o reconhecimento da filiação naquelas circunstâncias em que há o dissenso familiar, onde a relação socioafetiva desapareceu ou nunca existiu. Não se pode impor os deveres de cuidado, de carinho e de sustento a alguém que, não sendo o pai biológico, também não deseja ser pai socioafetivo. A </w:t>
      </w:r>
      <w:proofErr w:type="spellStart"/>
      <w:r w:rsidRPr="00D67AF4">
        <w:rPr>
          <w:i/>
          <w:iCs/>
        </w:rPr>
        <w:t>contrario</w:t>
      </w:r>
      <w:proofErr w:type="spellEnd"/>
      <w:r w:rsidRPr="00D67AF4">
        <w:rPr>
          <w:i/>
          <w:iCs/>
        </w:rPr>
        <w:t xml:space="preserve"> sensu</w:t>
      </w:r>
      <w:r w:rsidRPr="005324DD">
        <w:t xml:space="preserve">, se o afeto persiste de forma que pais e filhos constroem uma relação de mútuo auxílio, respeito e amparo, é acertado desconsiderar o vínculo meramente sanguíneo, para reconhecer a existência de filiação jurídica.   </w:t>
      </w:r>
    </w:p>
    <w:p w14:paraId="15B51451" w14:textId="77777777" w:rsidR="003A1787" w:rsidRDefault="003A1787" w:rsidP="003A1787">
      <w:pPr>
        <w:tabs>
          <w:tab w:val="left" w:pos="6108"/>
        </w:tabs>
        <w:rPr>
          <w:rFonts w:cs="Times New Roman"/>
        </w:rPr>
      </w:pPr>
      <w:r>
        <w:rPr>
          <w:rFonts w:cs="Times New Roman"/>
        </w:rPr>
        <w:t xml:space="preserve">    </w:t>
      </w:r>
    </w:p>
    <w:p w14:paraId="5ED91834" w14:textId="6E7D6B6D" w:rsidR="003A1787" w:rsidRDefault="003A1787" w:rsidP="003A1787">
      <w:pPr>
        <w:pStyle w:val="corpo"/>
      </w:pPr>
      <w:r>
        <w:t>Cumpre ressaltar que, em Portugal a perfilhação também tem o atributo da irrevogabilidade. A perfilhação é ato irrevogável, ou seja, verificando a manifestação livre e espontânea do pai no ato de reconhecimento d</w:t>
      </w:r>
      <w:r w:rsidR="00A432EC">
        <w:t>o filho</w:t>
      </w:r>
      <w:r>
        <w:t xml:space="preserve">, ele não poderá se valer futuramente de um eventual arrependimento, para revogar a paternidade antes declarada. Ademais, ela é irrevogável até </w:t>
      </w:r>
      <w:r w:rsidR="00A432EC">
        <w:t>mesmo quando manifestada</w:t>
      </w:r>
      <w:r>
        <w:t xml:space="preserve"> através de um testamento, caso este</w:t>
      </w:r>
      <w:r w:rsidR="00A432EC">
        <w:t xml:space="preserve"> seja</w:t>
      </w:r>
      <w:r>
        <w:t xml:space="preserve"> revogado posteriormente (art. 1858°, CC). Acrescente-se que esse também é o entendimento que vigora no Brasil, nos termos dos artigos 1°, III, da Lei n° 8.560/1992, artigo 1.609, III, e o artigo 1.610, ambos do CC.</w:t>
      </w:r>
    </w:p>
    <w:p w14:paraId="4982663F" w14:textId="64C3E001" w:rsidR="003A1787" w:rsidRDefault="003A1787" w:rsidP="003A1787">
      <w:pPr>
        <w:pStyle w:val="corpo"/>
      </w:pPr>
      <w:r>
        <w:t>Quanto à nulidade e anulabilidade do ato de reconhecimento d</w:t>
      </w:r>
      <w:r w:rsidR="00682DB5">
        <w:t xml:space="preserve">e </w:t>
      </w:r>
      <w:r>
        <w:t>filho, est</w:t>
      </w:r>
      <w:r w:rsidR="00682DB5">
        <w:t>e</w:t>
      </w:r>
      <w:r>
        <w:t>s não podem ser confundid</w:t>
      </w:r>
      <w:r w:rsidR="00682DB5">
        <w:t>o</w:t>
      </w:r>
      <w:r>
        <w:t>s com a revogação</w:t>
      </w:r>
      <w:r w:rsidR="00682DB5">
        <w:t>: a nulidade e anulabilidade</w:t>
      </w:r>
      <w:r>
        <w:t xml:space="preserve"> estão relacionad</w:t>
      </w:r>
      <w:r w:rsidR="00682DB5">
        <w:t>a</w:t>
      </w:r>
      <w:r>
        <w:t xml:space="preserve">s com as causas que podem levar à invalidade do ato de reconhecimento, em razão de erro, dolo, coação, </w:t>
      </w:r>
      <w:r w:rsidR="00682DB5">
        <w:t xml:space="preserve">e </w:t>
      </w:r>
      <w:r>
        <w:t xml:space="preserve">simulação no momento </w:t>
      </w:r>
      <w:r w:rsidR="00682DB5">
        <w:t xml:space="preserve">em </w:t>
      </w:r>
      <w:r>
        <w:t>que foi dada a manifestação de vontade. Assim, a perfilhação é anulável</w:t>
      </w:r>
      <w:r w:rsidR="005E2254">
        <w:t>,</w:t>
      </w:r>
      <w:r>
        <w:t xml:space="preserve"> a requerimento do perfilhante quando viciada por erro ou coação moral, sendo que o erro é relevante nas circunstâncias que tenham contribuído decisivamente para o convencimento da paternidade (art. 1860°, n° 1, e 2, CCP). Ou seja, o elemento erro deve ter sido preponderante para o ato de reconhecimento de filho.  </w:t>
      </w:r>
    </w:p>
    <w:p w14:paraId="2A99532F" w14:textId="77777777" w:rsidR="003A1787" w:rsidRDefault="003A1787" w:rsidP="003A1787">
      <w:pPr>
        <w:pStyle w:val="corpo"/>
      </w:pPr>
      <w:r>
        <w:t xml:space="preserve">O ato de reconhecimento voluntário de filho também tem o atributo da renunciabilidade. Esse atributo confere ao filho a possibilidade de renunciar ao direito de ser reconhecido como o filho de determinado pai. Nesses termos, o filho maior não pode ser reconhecido sem o seu consentimento, e o menor pode impugnar o reconhecimento nos 4 anos que se seguirem à maioridade, ou emancipação (art. 1614, CCB).        </w:t>
      </w:r>
    </w:p>
    <w:p w14:paraId="5718F2D0" w14:textId="77777777" w:rsidR="003A1787" w:rsidRDefault="003A1787" w:rsidP="003A1787">
      <w:pPr>
        <w:pStyle w:val="corpo"/>
      </w:pPr>
      <w:r>
        <w:t xml:space="preserve">Clovis </w:t>
      </w:r>
      <w:proofErr w:type="spellStart"/>
      <w:r>
        <w:t>Beviláqua</w:t>
      </w:r>
      <w:proofErr w:type="spellEnd"/>
      <w:r>
        <w:rPr>
          <w:rStyle w:val="Refdenotaderodap"/>
          <w:szCs w:val="24"/>
        </w:rPr>
        <w:footnoteReference w:id="106"/>
      </w:r>
      <w:r>
        <w:t xml:space="preserve"> desde a Codificação Civil brasileira anterior já tinha o mesmo entendimento sobre o assunto, como consta em seus comentários sobre o artigo 362, do Código Civil de 1916:</w:t>
      </w:r>
    </w:p>
    <w:p w14:paraId="7327ED00" w14:textId="77777777" w:rsidR="003A1787" w:rsidRDefault="003A1787" w:rsidP="003A1787">
      <w:pPr>
        <w:rPr>
          <w:rFonts w:cs="Times New Roman"/>
        </w:rPr>
      </w:pPr>
    </w:p>
    <w:p w14:paraId="5DBC183A" w14:textId="42DA65CA" w:rsidR="003A1787" w:rsidRDefault="003A1787" w:rsidP="003A1787">
      <w:pPr>
        <w:pStyle w:val="SemEspaamento"/>
      </w:pPr>
      <w:r>
        <w:t xml:space="preserve">O reconhecimento interessa, diretamente, ao perfilhado, porque lhe atribui um estado civil, que pode não lhe convir, pois se lhe atribui direitos e vantagens, também lhe impõe deveres, e cria direitos para o perfilhante. Se o filho é maior deve, portanto, dar o seu consentimento, sem o que o ato não terá validade. Durante a menoridade do filho, o consentimento será dado pelo tutor ou pessoa sob cuja guarda estiver; mas, não obstante, pela gravidade da matéria para o indivíduo, a quem o reconhecimento dá a condição de filho natural, o Código permite que ele o impugne, depois de atingir a maioridade. Para essa impugnação não é </w:t>
      </w:r>
      <w:proofErr w:type="gramStart"/>
      <w:r>
        <w:t>necessária senão</w:t>
      </w:r>
      <w:proofErr w:type="gramEnd"/>
      <w:r>
        <w:t xml:space="preserve"> a sua própria vontade contrária ao reconhecimento. A pessoa perfilhada não quer a posição de filho natural do perfilhante, e assim o declara.</w:t>
      </w:r>
    </w:p>
    <w:p w14:paraId="13FA5366" w14:textId="77777777" w:rsidR="003A1787" w:rsidRDefault="003A1787" w:rsidP="003A1787">
      <w:pPr>
        <w:rPr>
          <w:rFonts w:cs="Times New Roman"/>
          <w:b w:val="0"/>
          <w:bCs/>
        </w:rPr>
      </w:pPr>
    </w:p>
    <w:p w14:paraId="055E19DE" w14:textId="6E88B732" w:rsidR="003A1787" w:rsidRDefault="003A1787" w:rsidP="003A1787">
      <w:pPr>
        <w:pStyle w:val="corpo"/>
      </w:pPr>
      <w:r>
        <w:t>Outrossim, em Portugal</w:t>
      </w:r>
      <w:r w:rsidR="005E2254">
        <w:t>,</w:t>
      </w:r>
      <w:r>
        <w:t xml:space="preserve"> a concordância do filho também é essencial à perfilhação</w:t>
      </w:r>
      <w:r w:rsidR="005E2254">
        <w:t>,</w:t>
      </w:r>
      <w:r>
        <w:t xml:space="preserve"> como se vislumbra no artigo 1857°, n° 1, CC</w:t>
      </w:r>
      <w:r w:rsidR="005E2254">
        <w:t>. A</w:t>
      </w:r>
      <w:r>
        <w:t xml:space="preserve"> perfilhação de filho maior ou emancipado, ou de filho </w:t>
      </w:r>
      <w:proofErr w:type="spellStart"/>
      <w:r>
        <w:t>predefunto</w:t>
      </w:r>
      <w:proofErr w:type="spellEnd"/>
      <w:r>
        <w:t xml:space="preserve"> de quem vivam descendentes maiores ou emancipados, só produz efeitos se </w:t>
      </w:r>
      <w:r w:rsidR="00A05B7E">
        <w:t>o filho maior ou emancipado, ou os descendentes maiores ou emancipados derem seu assentimento</w:t>
      </w:r>
      <w:r>
        <w:t xml:space="preserve">.  </w:t>
      </w:r>
    </w:p>
    <w:p w14:paraId="06131AC4" w14:textId="77777777" w:rsidR="003A1787" w:rsidRDefault="003A1787" w:rsidP="003A1787">
      <w:pPr>
        <w:pStyle w:val="corpo"/>
      </w:pPr>
      <w:r>
        <w:t xml:space="preserve">No Brasil, quanto à regra estabelecida no artigo 1.614, CCB, existem duas normas distintas. A primeira impõe a obrigatoriedade do expresso consentimento do filho se o reconhecimento se der após a sua maioridade. E a segunda norma refere-se ao direito do filho em impugnar o reconhecimento nos 4 anos que se seguirem à maioridade ou à emancipação. Estamos diante de uma ação de impugnação do reconhecimento, que poderá ter como fundamento a falta de sinceridade, ou na alegação de que emana de quem não é o verdadeiro pai, ou ainda na atribuição de falsa filiação do perfilhado.  </w:t>
      </w:r>
    </w:p>
    <w:p w14:paraId="25F67EC3" w14:textId="044805A5" w:rsidR="003A1787" w:rsidRDefault="003A1787" w:rsidP="003A1787">
      <w:pPr>
        <w:pStyle w:val="corpo"/>
      </w:pPr>
      <w:r>
        <w:t xml:space="preserve">No entanto, no Brasil, atualmente em face dos atuais paradigmas do direito de família, das novas formas de parentesco e da dimensão socioafetiva da paternidade, a possibilidade de se levantar objeções </w:t>
      </w:r>
      <w:r w:rsidR="000B4265">
        <w:t>a</w:t>
      </w:r>
      <w:r>
        <w:t xml:space="preserve">o reconhecimento, no caso </w:t>
      </w:r>
      <w:proofErr w:type="gramStart"/>
      <w:r>
        <w:t>do</w:t>
      </w:r>
      <w:proofErr w:type="gramEnd"/>
      <w:r>
        <w:t xml:space="preserve"> filho ter sido criado e assistido pelo pai é questionável. </w:t>
      </w:r>
    </w:p>
    <w:p w14:paraId="7C69C319" w14:textId="77777777" w:rsidR="003A1787" w:rsidRDefault="003A1787" w:rsidP="003A1787">
      <w:pPr>
        <w:pStyle w:val="corpo"/>
      </w:pPr>
      <w:r>
        <w:t>Ensina Samir José Caetano Martins</w:t>
      </w:r>
      <w:r>
        <w:rPr>
          <w:rStyle w:val="Refdenotaderodap"/>
          <w:szCs w:val="24"/>
        </w:rPr>
        <w:footnoteReference w:id="107"/>
      </w:r>
      <w:r>
        <w:t xml:space="preserve"> que, nos termos dos princípios constitucionais da paternidade responsável e mútua assistência, e em razão da existência simultânea da paternidade biológica e socioafetiva, é necessário avaliar certos aspectos do caso concreto em uma ação de impugnação do reconhecimento de paternidade. Para ele, nas situações em que o reconhecimento foi tardio, e se não foi precedido ou acompanhado da efetiva assistência material e vinculação socioafetiva será legítima a impugnação independente da análise do vínculo biológico.    </w:t>
      </w:r>
    </w:p>
    <w:p w14:paraId="006E8222" w14:textId="70FCF61A" w:rsidR="003A1787" w:rsidRDefault="003A1787" w:rsidP="003A1787">
      <w:pPr>
        <w:pStyle w:val="corpo"/>
      </w:pPr>
      <w:r>
        <w:t xml:space="preserve">Assim, a doutrina brasileira traz uma nova orientação que mitiga o atributo da renunciabilidade para compatibilizá-lo com os novos paradigmas do direito de família. Verifica-se, então, que esse atributo não tem um caráter absoluto, ou seja, ele é questionável a depender da situação fática. O juiz, no caso concreto, analisará as circunstâncias e os motivos alegados pelo filho </w:t>
      </w:r>
      <w:r w:rsidR="000B4265">
        <w:t>em relação a</w:t>
      </w:r>
      <w:r>
        <w:t xml:space="preserve">o pedido de renúncia da paternidade, que poderá ser deferido ou não, sendo que os casos em que houver a negativa serão, principalmente, aqueles em que </w:t>
      </w:r>
      <w:r w:rsidR="000B4265">
        <w:t xml:space="preserve">se </w:t>
      </w:r>
      <w:r>
        <w:t xml:space="preserve">verifica a existência de efetiva assistência material e vínculo socioafetivo entre pai e filho.  </w:t>
      </w:r>
    </w:p>
    <w:p w14:paraId="2A830322" w14:textId="2024D9B4" w:rsidR="003A1787" w:rsidRDefault="003A1787" w:rsidP="003A1787">
      <w:pPr>
        <w:pStyle w:val="corpo"/>
      </w:pPr>
      <w:r>
        <w:t xml:space="preserve">Mais adiante, o reconhecimento de paternidade tem o atributo da incondicionalidade. </w:t>
      </w:r>
      <w:r w:rsidR="002A6CD0">
        <w:t>O</w:t>
      </w:r>
      <w:r>
        <w:t xml:space="preserve"> ato de reconhecimento não pode ser realizado sob qualquer condição, seja ela resolutiva ou suspensiva. O ato em si deve gerar apenas a consequência de atribuir ao perfilhado o estado de filho, sem subordinação a qualquer evento futuro, de que dependa sua validade ou que lhe imponha a cessação de efeitos. Nesse mesmo sentido, em Portugal a legislação civil fixa alguns conteúdos defesos no ato de perfilhação: o ato de perfilhação não comporta cláusulas que limitem ou modifiquem os efeitos que lhe são atribuídos por lei, nem admite condição ou termo (art. 1852°, n° 1, CC). E o Código Civil brasileiro declara a ineficácia da condição aposta ao ato de reconhecimento do filho (art. 1.613, CC).   </w:t>
      </w:r>
    </w:p>
    <w:p w14:paraId="7F1BEC57" w14:textId="3C24C896" w:rsidR="003A1787" w:rsidRDefault="003A1787" w:rsidP="003A1787">
      <w:pPr>
        <w:pStyle w:val="corpo"/>
      </w:pPr>
      <w:r>
        <w:t xml:space="preserve">Por fim, existe o atributo da retroatividade ao ato de reconhecimento de filho. </w:t>
      </w:r>
      <w:r w:rsidR="00727E96">
        <w:t>R</w:t>
      </w:r>
      <w:r>
        <w:t>econhecido o filho, ele adquire um estado que retroage à data do nascimento, ou até a data da concepção. Em Portugal, a regra da retroatividade está estabelecida no artigo 1797°, n° 2, CC, em que menciona que o estabelecimento d</w:t>
      </w:r>
      <w:r w:rsidR="00727E96">
        <w:t xml:space="preserve">e </w:t>
      </w:r>
      <w:r>
        <w:t>filiação tem, todavia, eficácia retroativa.</w:t>
      </w:r>
    </w:p>
    <w:p w14:paraId="6D46CBC3" w14:textId="77777777" w:rsidR="003A1787" w:rsidRPr="001468A3" w:rsidRDefault="003A1787" w:rsidP="003A1787">
      <w:pPr>
        <w:pStyle w:val="corpo"/>
      </w:pPr>
      <w:r>
        <w:t xml:space="preserve">Esse caráter advém da natureza declaratória do ato de reconhecimento. Vinculado à filiação biológica deixa evidente uma situação jurídica originária, e, consequentemente, atribui ao filho os direitos e deveres decorrentes da relação de paternidade, que de biológica converte-se em jurídica.        </w:t>
      </w:r>
    </w:p>
    <w:p w14:paraId="5003EDB4" w14:textId="77777777" w:rsidR="003A1787" w:rsidRDefault="003A1787" w:rsidP="003A1787"/>
    <w:p w14:paraId="41C2E197" w14:textId="77777777" w:rsidR="003A1787" w:rsidRDefault="003A1787" w:rsidP="003A1787">
      <w:pPr>
        <w:pStyle w:val="Ttulo2"/>
      </w:pPr>
      <w:bookmarkStart w:id="68" w:name="_Toc28034661"/>
      <w:r>
        <w:t>O Reconhecimento Socioafetivo de Filho</w:t>
      </w:r>
      <w:bookmarkEnd w:id="68"/>
    </w:p>
    <w:p w14:paraId="6C553778" w14:textId="77777777" w:rsidR="003A1787" w:rsidRDefault="003A1787" w:rsidP="003A1787"/>
    <w:p w14:paraId="1C3DD9BA" w14:textId="0783D4FB" w:rsidR="003A1787" w:rsidRDefault="003A1787" w:rsidP="003A1787">
      <w:pPr>
        <w:pStyle w:val="corpo"/>
      </w:pPr>
      <w:r w:rsidRPr="001D1061">
        <w:t>Após o estudo das formas de estabelecimento da paternidade</w:t>
      </w:r>
      <w:r>
        <w:t xml:space="preserve">, tanto no Brasil quanto em Portugal, bem como </w:t>
      </w:r>
      <w:r w:rsidR="00727E96">
        <w:t>d</w:t>
      </w:r>
      <w:r>
        <w:t>a análise de</w:t>
      </w:r>
      <w:r w:rsidR="00727E96">
        <w:t xml:space="preserve"> como se</w:t>
      </w:r>
      <w:r>
        <w:t xml:space="preserve"> realiza o procedimento de reconhecimento de filho biológico nesses dois países, adentraremos no estudo da nova forma de estabelecimento de paternidade: o reconhecimento de filho socioafetivo.</w:t>
      </w:r>
    </w:p>
    <w:p w14:paraId="0BD6740A" w14:textId="77777777" w:rsidR="003A1787" w:rsidRPr="003A1787" w:rsidRDefault="003A1787" w:rsidP="003A1787"/>
    <w:p w14:paraId="3D2E5157" w14:textId="77777777" w:rsidR="0007653D" w:rsidRDefault="0007653D" w:rsidP="0007653D">
      <w:pPr>
        <w:pStyle w:val="Ttulo3"/>
        <w:rPr>
          <w:b/>
          <w:bCs/>
        </w:rPr>
      </w:pPr>
      <w:bookmarkStart w:id="69" w:name="_Toc28034662"/>
      <w:r w:rsidRPr="0007653D">
        <w:rPr>
          <w:b/>
          <w:bCs/>
        </w:rPr>
        <w:t>No Brasil</w:t>
      </w:r>
      <w:bookmarkEnd w:id="69"/>
    </w:p>
    <w:p w14:paraId="34F348CE" w14:textId="77777777" w:rsidR="003A1787" w:rsidRDefault="003A1787" w:rsidP="003A1787"/>
    <w:p w14:paraId="743CC446" w14:textId="026633D9" w:rsidR="003A1787" w:rsidRDefault="003A1787" w:rsidP="003A1787">
      <w:pPr>
        <w:pStyle w:val="corpo"/>
      </w:pPr>
      <w:r w:rsidRPr="00187790">
        <w:t>Por muitos anos no Brasil, o ato de reconhecimento de filho</w:t>
      </w:r>
      <w:r>
        <w:t xml:space="preserve"> biológico ou socioafetivo,</w:t>
      </w:r>
      <w:r w:rsidRPr="00187790">
        <w:t xml:space="preserve"> era algo que deveria necessariamente passar pelo crivo do Poder Judiciário, a fim de que o juiz pudesse confirmar a paternidade e, consequentemente, mandar </w:t>
      </w:r>
      <w:r>
        <w:t>consigna</w:t>
      </w:r>
      <w:r w:rsidR="00A3521A">
        <w:t>r</w:t>
      </w:r>
      <w:r>
        <w:t xml:space="preserve"> os dados do pai</w:t>
      </w:r>
      <w:r w:rsidR="00A3521A">
        <w:t xml:space="preserve"> no assento de nascimento</w:t>
      </w:r>
      <w:r>
        <w:t>.</w:t>
      </w:r>
    </w:p>
    <w:p w14:paraId="0EF51E0A" w14:textId="77777777" w:rsidR="003F0CD1" w:rsidRDefault="003A1787" w:rsidP="003A1787">
      <w:pPr>
        <w:pStyle w:val="corpo"/>
      </w:pPr>
      <w:r>
        <w:t xml:space="preserve">Independentemente </w:t>
      </w:r>
      <w:r w:rsidR="0071662C">
        <w:t xml:space="preserve">de </w:t>
      </w:r>
      <w:r>
        <w:t>h</w:t>
      </w:r>
      <w:r w:rsidR="0071662C">
        <w:t>aver</w:t>
      </w:r>
      <w:r>
        <w:t xml:space="preserve"> um consenso ou não entre os interessados acerca da paternidade, o juiz sempre intervia. Ou seja, a intervenção do juiz era imprescindível aos reconhecimentos de paternidade, fossem esses consensuais ou litigiosos. </w:t>
      </w:r>
    </w:p>
    <w:p w14:paraId="5A42AF88" w14:textId="43112F9B" w:rsidR="003A1787" w:rsidRDefault="003A1787" w:rsidP="003A1787">
      <w:pPr>
        <w:pStyle w:val="corpo"/>
      </w:pPr>
      <w:r>
        <w:t xml:space="preserve">No entanto, a mudança de paradigma </w:t>
      </w:r>
      <w:r w:rsidR="00E64551">
        <w:t xml:space="preserve">em </w:t>
      </w:r>
      <w:r>
        <w:t xml:space="preserve">que passa o Poder Judiciário brasileiro e os Cartórios Extrajudiciais </w:t>
      </w:r>
      <w:r w:rsidR="003F0CD1">
        <w:t>fez com que houvessem</w:t>
      </w:r>
      <w:r w:rsidR="00E64551">
        <w:t xml:space="preserve"> </w:t>
      </w:r>
      <w:r>
        <w:t xml:space="preserve">inovações </w:t>
      </w:r>
      <w:r w:rsidR="003F0CD1">
        <w:t>na</w:t>
      </w:r>
      <w:r>
        <w:t xml:space="preserve"> legislação, </w:t>
      </w:r>
      <w:r w:rsidR="003F0CD1">
        <w:t xml:space="preserve">com </w:t>
      </w:r>
      <w:r>
        <w:t>o intuito de garantir maior efetividade à Justiça. Essa mudança de pensamento é denominada de movimento da desjudicialização que abordaremos a seguir.</w:t>
      </w:r>
    </w:p>
    <w:p w14:paraId="4B54E938" w14:textId="77777777" w:rsidR="003A1787" w:rsidRDefault="003A1787" w:rsidP="003A1787"/>
    <w:p w14:paraId="1383EA01" w14:textId="77777777" w:rsidR="003A1787" w:rsidRDefault="003A1787" w:rsidP="003A1787">
      <w:pPr>
        <w:pStyle w:val="Ttulo3"/>
        <w:numPr>
          <w:ilvl w:val="0"/>
          <w:numId w:val="0"/>
        </w:numPr>
        <w:rPr>
          <w:b/>
          <w:bCs/>
        </w:rPr>
      </w:pPr>
      <w:bookmarkStart w:id="70" w:name="_Toc28034663"/>
      <w:r>
        <w:rPr>
          <w:b/>
          <w:bCs/>
        </w:rPr>
        <w:t>3.3.1.1 Movimento de Desjudicialização</w:t>
      </w:r>
      <w:bookmarkEnd w:id="70"/>
    </w:p>
    <w:p w14:paraId="46B4E7FA" w14:textId="77777777" w:rsidR="00AD5DB4" w:rsidRDefault="00AD5DB4" w:rsidP="00AD5DB4"/>
    <w:p w14:paraId="253443D4" w14:textId="23581AFA" w:rsidR="00AD5DB4" w:rsidRDefault="00AD5DB4" w:rsidP="00AD5DB4">
      <w:pPr>
        <w:pStyle w:val="corpo"/>
      </w:pPr>
      <w:r w:rsidRPr="00DF44CF">
        <w:t xml:space="preserve">Durante o Século XX, num movimento contrário ao que se verifica </w:t>
      </w:r>
      <w:r w:rsidR="0027533E">
        <w:t>atualmente</w:t>
      </w:r>
      <w:r w:rsidRPr="00DF44CF">
        <w:t>, houve um crescente processo de “judicialização” dos conflitos. Isso se deu em virtude da massificação das relações de consumo, bem como com o surgimento dos direitos difusos e coletivos.</w:t>
      </w:r>
      <w:r>
        <w:t xml:space="preserve"> </w:t>
      </w:r>
      <w:r w:rsidRPr="00DF44CF">
        <w:t xml:space="preserve">Além disso, a Constituição Federal de 1988 trouxe inúmeros direitos fundamentais, </w:t>
      </w:r>
      <w:r>
        <w:t>d</w:t>
      </w:r>
      <w:r w:rsidRPr="00DF44CF">
        <w:t>entre eles, o acesso à justiça, que intensificou ainda mais os números das demandas, que buscavam soluções através do Poder Judiciário.</w:t>
      </w:r>
    </w:p>
    <w:p w14:paraId="611AE5F8" w14:textId="77777777" w:rsidR="00AD5DB4" w:rsidRPr="00050DAA" w:rsidRDefault="00AD5DB4" w:rsidP="00AD5DB4">
      <w:pPr>
        <w:pStyle w:val="texto"/>
        <w:spacing w:after="0" w:line="360" w:lineRule="auto"/>
        <w:ind w:firstLine="851"/>
        <w:rPr>
          <w:rFonts w:ascii="Times New Roman" w:hAnsi="Times New Roman"/>
          <w:sz w:val="20"/>
        </w:rPr>
      </w:pPr>
    </w:p>
    <w:p w14:paraId="5FF53FA5" w14:textId="74A634E9" w:rsidR="00AD5DB4" w:rsidRDefault="00AD5DB4" w:rsidP="00AD5DB4">
      <w:pPr>
        <w:pStyle w:val="texto"/>
        <w:spacing w:after="0" w:line="240" w:lineRule="auto"/>
        <w:ind w:left="2268" w:firstLine="0"/>
        <w:rPr>
          <w:rFonts w:ascii="Times New Roman" w:hAnsi="Times New Roman"/>
          <w:sz w:val="20"/>
        </w:rPr>
      </w:pPr>
      <w:r w:rsidRPr="00CF2407">
        <w:rPr>
          <w:rFonts w:ascii="Times New Roman" w:hAnsi="Times New Roman"/>
          <w:sz w:val="20"/>
        </w:rPr>
        <w:t>Todavia, o maior impulso à judicialização foi, indubitavelmente, promovido pela Constituição Federal de 1988, a Constituição Cidadã. Por ter sido elaborada após um longo período de repressão política, a nossa Carta Magna, buscando a redemocratização brasileira, tornou o acesso à justiça um princípio constitucional, trazendo, em seu bojo, direitos e garantias que enaltecem o exercício da cidadania, estimulando assim o cidadão a buscar seus direitos através do Poder Judiciário</w:t>
      </w:r>
      <w:r>
        <w:rPr>
          <w:rStyle w:val="Refdenotaderodap"/>
          <w:rFonts w:ascii="Times New Roman" w:hAnsi="Times New Roman"/>
          <w:sz w:val="20"/>
        </w:rPr>
        <w:footnoteReference w:id="108"/>
      </w:r>
      <w:r w:rsidRPr="00CF2407">
        <w:rPr>
          <w:rFonts w:ascii="Times New Roman" w:hAnsi="Times New Roman"/>
          <w:sz w:val="20"/>
        </w:rPr>
        <w:t>.</w:t>
      </w:r>
    </w:p>
    <w:p w14:paraId="5E979400" w14:textId="77777777" w:rsidR="00AD5DB4" w:rsidRPr="002C2455" w:rsidRDefault="00AD5DB4" w:rsidP="00DB087A">
      <w:pPr>
        <w:pStyle w:val="texto"/>
        <w:spacing w:after="0" w:line="360" w:lineRule="auto"/>
        <w:ind w:left="2268" w:firstLine="0"/>
        <w:rPr>
          <w:rFonts w:ascii="Times New Roman" w:hAnsi="Times New Roman"/>
          <w:sz w:val="24"/>
          <w:szCs w:val="24"/>
        </w:rPr>
      </w:pPr>
      <w:r w:rsidRPr="00CF2407">
        <w:rPr>
          <w:rFonts w:ascii="Times New Roman" w:hAnsi="Times New Roman"/>
          <w:sz w:val="20"/>
        </w:rPr>
        <w:t xml:space="preserve"> </w:t>
      </w:r>
    </w:p>
    <w:p w14:paraId="7815B5E3" w14:textId="0C9FD280" w:rsidR="00AD5DB4" w:rsidRPr="00DF44CF" w:rsidRDefault="00AD5DB4" w:rsidP="00AD5DB4">
      <w:pPr>
        <w:pStyle w:val="corpo"/>
      </w:pPr>
      <w:r w:rsidRPr="00DF44CF">
        <w:t>Essa situação desenfreada da judicialização dos conflitos lev</w:t>
      </w:r>
      <w:r w:rsidR="00313514">
        <w:t>ou</w:t>
      </w:r>
      <w:r w:rsidRPr="00DF44CF">
        <w:t xml:space="preserve"> a um número </w:t>
      </w:r>
      <w:r w:rsidR="00313514">
        <w:t>muito grande</w:t>
      </w:r>
      <w:r w:rsidRPr="00DF44CF">
        <w:t xml:space="preserve"> de açõe</w:t>
      </w:r>
      <w:r w:rsidR="00834F43">
        <w:t>s</w:t>
      </w:r>
      <w:r w:rsidRPr="00DF44CF">
        <w:t xml:space="preserve">, o que </w:t>
      </w:r>
      <w:r w:rsidR="00834F43">
        <w:t>gerou a</w:t>
      </w:r>
      <w:r w:rsidRPr="00DF44CF">
        <w:t xml:space="preserve"> estagnação do Poder Judiciário. Isso tudo culminando na morosidade e ineficiência da Justiça.</w:t>
      </w:r>
      <w:r>
        <w:t xml:space="preserve"> </w:t>
      </w:r>
      <w:r w:rsidRPr="00DF44CF">
        <w:t>Nesse contexto adveio a Emenda Constitucional nº 45/2004, que inseriu no artigo 5º, inciso LXXVIII, da Constituição Federal de 1988, o Princípio da Duração Razoável do Processo, que tem como intuito o aprimoramento do sistema processual, a fim de tornar mais ágil e célere a prestação jurisdicional.</w:t>
      </w:r>
    </w:p>
    <w:p w14:paraId="73EFC943" w14:textId="77777777" w:rsidR="00AD5DB4" w:rsidRPr="00DF44CF" w:rsidRDefault="00AD5DB4" w:rsidP="00AD5DB4">
      <w:pPr>
        <w:pStyle w:val="corpo"/>
      </w:pPr>
      <w:r w:rsidRPr="00DF44CF">
        <w:t xml:space="preserve">É nesse momento histórico que o movimento </w:t>
      </w:r>
      <w:r>
        <w:t>da</w:t>
      </w:r>
      <w:r w:rsidRPr="00DF44CF">
        <w:t xml:space="preserve"> desjudicialização ganha maior força. Busca-se uma informalização dos procedimentos e a resolução dos conflitos através de meios alternativos que possam levar à uma justiça mais democrática, acessível e eficiente.</w:t>
      </w:r>
    </w:p>
    <w:p w14:paraId="5108FCA9" w14:textId="75D80339" w:rsidR="00AD5DB4" w:rsidRPr="00DF44CF" w:rsidRDefault="00AD5DB4" w:rsidP="00AD5DB4">
      <w:pPr>
        <w:pStyle w:val="corpo"/>
      </w:pPr>
      <w:r w:rsidRPr="00E604D3">
        <w:t>Desjudicializar</w:t>
      </w:r>
      <w:r>
        <w:t xml:space="preserve"> significa buscar o mesmo resultado que seria alcanç</w:t>
      </w:r>
      <w:r w:rsidR="00D216F0">
        <w:t>ável</w:t>
      </w:r>
      <w:r>
        <w:t xml:space="preserve"> dentro do Poder Judiciário, através de outros meios ou procedimentos mais céleres</w:t>
      </w:r>
      <w:r w:rsidRPr="00E604D3">
        <w:t xml:space="preserve">. </w:t>
      </w:r>
      <w:r w:rsidRPr="00DF44CF">
        <w:t xml:space="preserve">Dessa forma, a desjudicialização consiste na </w:t>
      </w:r>
      <w:r w:rsidR="00C64D9C">
        <w:t>u</w:t>
      </w:r>
      <w:r w:rsidRPr="00DF44CF">
        <w:t xml:space="preserve">tilização de meios alternativos, a fim de possibilitar maior rapidez e efetividade aos resultados. </w:t>
      </w:r>
    </w:p>
    <w:p w14:paraId="60D1B9D5" w14:textId="5898C597" w:rsidR="00AD5DB4" w:rsidRPr="00DF44CF" w:rsidRDefault="00AD5DB4" w:rsidP="00AD5DB4">
      <w:pPr>
        <w:pStyle w:val="corpo"/>
      </w:pPr>
      <w:r w:rsidRPr="00DF44CF">
        <w:t>A grande novidade no mundo jurídico tem sido a possibilidade de realizar vários procedimentos administrativos necess</w:t>
      </w:r>
      <w:r w:rsidR="00E902E5">
        <w:t>ários à</w:t>
      </w:r>
      <w:r w:rsidRPr="00DF44CF">
        <w:t xml:space="preserve"> vida civil diretamente nos Cartórios de Registro e Notas, independentemente de intervenção judicial</w:t>
      </w:r>
      <w:r>
        <w:t xml:space="preserve">. </w:t>
      </w:r>
      <w:r w:rsidRPr="00DF44CF">
        <w:t>Está-se falando da superação da clássica ideia que esses atos que, até então deveriam passar</w:t>
      </w:r>
      <w:r w:rsidR="00E902E5">
        <w:t xml:space="preserve"> </w:t>
      </w:r>
      <w:r w:rsidRPr="00DF44CF">
        <w:t>pelo Poder Judiciário, já não precisa</w:t>
      </w:r>
      <w:r w:rsidR="00E902E5">
        <w:t>ria</w:t>
      </w:r>
      <w:r w:rsidRPr="00DF44CF">
        <w:t>m mais. Essa solução trazida pelo legislador destina-se a tornar o procedimento mais célere, eficiente e com impactos positivos na ampliação do acesso à justiça.</w:t>
      </w:r>
    </w:p>
    <w:p w14:paraId="68D3036F" w14:textId="3CC8F21C" w:rsidR="00AD5DB4" w:rsidRPr="00DF44CF" w:rsidRDefault="00EF1A34" w:rsidP="00AD5DB4">
      <w:pPr>
        <w:pStyle w:val="corpo"/>
      </w:pPr>
      <w:r>
        <w:t>A</w:t>
      </w:r>
      <w:r w:rsidR="00AD5DB4" w:rsidRPr="00DF44CF">
        <w:t xml:space="preserve"> busca por novos instrumentos veio de encontro à atual realidade do Poder Judiciário, que não tem conseguido dar respostas rápidas aos anseios das partes. Constata-se, pois, verdadeira crise do sistema judiciário</w:t>
      </w:r>
      <w:r w:rsidR="005419FE">
        <w:t xml:space="preserve"> brasileiro</w:t>
      </w:r>
      <w:r w:rsidR="00AD5DB4" w:rsidRPr="00DF44CF">
        <w:t>, na medida em que não satisfaz as demandas sociais.</w:t>
      </w:r>
      <w:r w:rsidR="00AD5DB4">
        <w:t xml:space="preserve"> De outro lado</w:t>
      </w:r>
      <w:r w:rsidR="00AD5DB4" w:rsidRPr="00DF44CF">
        <w:t xml:space="preserve">, a história da civilização tem demonstrado que a atividade notarial e registral é um instrumento muito importante e confiável à sociedade, </w:t>
      </w:r>
      <w:r w:rsidR="00AD5DB4">
        <w:t xml:space="preserve">já que, sendo um serviço instituído </w:t>
      </w:r>
      <w:r w:rsidR="00AD5DB4" w:rsidRPr="00DF44CF">
        <w:t>pelo Estado</w:t>
      </w:r>
      <w:r w:rsidR="00AD5DB4">
        <w:t xml:space="preserve">, </w:t>
      </w:r>
      <w:r w:rsidR="00AD5DB4" w:rsidRPr="00DF44CF">
        <w:t>reveste-se da fé pública.</w:t>
      </w:r>
    </w:p>
    <w:p w14:paraId="0237981D" w14:textId="77777777" w:rsidR="00AD5DB4" w:rsidRPr="00DF44CF" w:rsidRDefault="00AD5DB4" w:rsidP="00AD5DB4">
      <w:pPr>
        <w:pStyle w:val="corpo"/>
      </w:pPr>
      <w:r>
        <w:t>A</w:t>
      </w:r>
      <w:r w:rsidRPr="00DF44CF">
        <w:t>s atividades prestadas pelos Notários e Registradores são norteadas pelos Princípios de Direito Público, tais como a legalidade, impessoalidade, moralidade, eficiência, generalidade, continuidade, modicidade, conservação, entre outros.</w:t>
      </w:r>
    </w:p>
    <w:p w14:paraId="29D33B65" w14:textId="6A5489F6" w:rsidR="00AD5DB4" w:rsidRDefault="00AD5DB4" w:rsidP="00AD5DB4">
      <w:pPr>
        <w:pStyle w:val="corpo"/>
      </w:pPr>
      <w:r w:rsidRPr="00DF44CF">
        <w:t xml:space="preserve">Os serviços prestados pelos Cartórios Extrajudiciais são imprescindíveis </w:t>
      </w:r>
      <w:proofErr w:type="gramStart"/>
      <w:r>
        <w:t>à</w:t>
      </w:r>
      <w:proofErr w:type="gramEnd"/>
      <w:r w:rsidRPr="00DF44CF">
        <w:t xml:space="preserve"> qualquer cidadão, e têm participação important</w:t>
      </w:r>
      <w:r w:rsidR="00EF1A34">
        <w:t>e</w:t>
      </w:r>
      <w:r w:rsidRPr="00DF44CF">
        <w:t xml:space="preserve"> na solução de conflitos e prevenção de litígios, o que leva à pacificação social.</w:t>
      </w:r>
      <w:r>
        <w:t xml:space="preserve"> </w:t>
      </w:r>
      <w:r w:rsidRPr="00DF44CF">
        <w:t>É nesse contexto que a desjudicialização torna-se important</w:t>
      </w:r>
      <w:r>
        <w:t>e</w:t>
      </w:r>
      <w:r w:rsidRPr="00DF44CF">
        <w:t xml:space="preserve"> na atualidade. Além de ser um procedimento mais rápido e eficiente, ele </w:t>
      </w:r>
      <w:r>
        <w:t>também traz a segurança jurídica, já que é</w:t>
      </w:r>
      <w:r w:rsidRPr="00DF44CF">
        <w:t xml:space="preserve"> prestado por um Registrador ou Tabelião, que é um agente públic</w:t>
      </w:r>
      <w:r>
        <w:t>o qualificado</w:t>
      </w:r>
      <w:r w:rsidRPr="00DF44CF">
        <w:t>.</w:t>
      </w:r>
    </w:p>
    <w:p w14:paraId="279A67A3" w14:textId="308B9EEE" w:rsidR="00AD5DB4" w:rsidRDefault="00AD5DB4" w:rsidP="00AD5DB4">
      <w:pPr>
        <w:pStyle w:val="corpo"/>
      </w:pPr>
      <w:r w:rsidRPr="00DF44CF">
        <w:t xml:space="preserve">Leis visando a desjudicialização começaram a ser editadas, e dentre elas, vale ressaltar a da retificação do </w:t>
      </w:r>
      <w:r>
        <w:t>registro</w:t>
      </w:r>
      <w:r w:rsidRPr="00DF44CF">
        <w:t xml:space="preserve"> civil, o de reconhecimento de paternidade, a de usucapião administrativa, a de inventário, partilha e divórcio extrajudiciais.</w:t>
      </w:r>
      <w:r>
        <w:t xml:space="preserve"> </w:t>
      </w:r>
      <w:r w:rsidRPr="00DF44CF">
        <w:t>Constata-se uma tendência irreversível no processo de desjudicialização d</w:t>
      </w:r>
      <w:r>
        <w:t>o</w:t>
      </w:r>
      <w:r w:rsidRPr="00DF44CF">
        <w:t xml:space="preserve">s </w:t>
      </w:r>
      <w:r w:rsidR="000305C9">
        <w:t>interesses</w:t>
      </w:r>
      <w:r>
        <w:t xml:space="preserve">, sendo imprescindível que o objeto seja um direito </w:t>
      </w:r>
      <w:r w:rsidRPr="00DF44CF">
        <w:t>disponíve</w:t>
      </w:r>
      <w:r>
        <w:t>l</w:t>
      </w:r>
      <w:r w:rsidRPr="00DF44CF">
        <w:t xml:space="preserve">. </w:t>
      </w:r>
    </w:p>
    <w:p w14:paraId="6986AFCE" w14:textId="00C356D8" w:rsidR="00AD5DB4" w:rsidRDefault="00AD5DB4" w:rsidP="00AD5DB4">
      <w:pPr>
        <w:pStyle w:val="corpo"/>
      </w:pPr>
      <w:r>
        <w:t>V</w:t>
      </w:r>
      <w:r w:rsidRPr="00DF44CF">
        <w:t>erifica</w:t>
      </w:r>
      <w:r>
        <w:t>m</w:t>
      </w:r>
      <w:r w:rsidRPr="00DF44CF">
        <w:t>-se</w:t>
      </w:r>
      <w:r>
        <w:t xml:space="preserve"> que esses procedimentos extrajudiciais </w:t>
      </w:r>
      <w:r w:rsidR="00080ADE">
        <w:t xml:space="preserve">alcançam </w:t>
      </w:r>
      <w:r>
        <w:t xml:space="preserve">o mesmo fim que seria alcançado através do Poder Judiciário, com a diferença de que os procedimentos judiciais são mais demorados e </w:t>
      </w:r>
      <w:r w:rsidR="008C0525">
        <w:t>complexo</w:t>
      </w:r>
      <w:r>
        <w:t xml:space="preserve">s. </w:t>
      </w:r>
      <w:r w:rsidRPr="00DF44CF">
        <w:t>A</w:t>
      </w:r>
      <w:r>
        <w:t xml:space="preserve"> atuação da</w:t>
      </w:r>
      <w:r w:rsidRPr="00DF44CF">
        <w:t>s serventias extrajudiciais, como parceir</w:t>
      </w:r>
      <w:r>
        <w:t>a</w:t>
      </w:r>
      <w:r w:rsidRPr="00DF44CF">
        <w:t>s do Poder Judiciário,</w:t>
      </w:r>
      <w:r>
        <w:t xml:space="preserve"> tem-se demonstrado muito eficientes em </w:t>
      </w:r>
      <w:r w:rsidRPr="00DF44CF">
        <w:t>desafogar os órgãos judiciais.</w:t>
      </w:r>
    </w:p>
    <w:p w14:paraId="60E73B43" w14:textId="21D96C48" w:rsidR="00E567D6" w:rsidRDefault="00E567D6" w:rsidP="00AD5DB4">
      <w:pPr>
        <w:pStyle w:val="corpo"/>
      </w:pPr>
    </w:p>
    <w:p w14:paraId="2D1BDD86" w14:textId="210E2F94" w:rsidR="00E567D6" w:rsidRDefault="00E567D6" w:rsidP="00AD5DB4">
      <w:pPr>
        <w:pStyle w:val="corpo"/>
      </w:pPr>
    </w:p>
    <w:p w14:paraId="384408B3" w14:textId="77777777" w:rsidR="00E567D6" w:rsidRDefault="00E567D6" w:rsidP="00AD5DB4">
      <w:pPr>
        <w:pStyle w:val="corpo"/>
      </w:pPr>
    </w:p>
    <w:p w14:paraId="6F1358A3" w14:textId="77777777" w:rsidR="00AD5DB4" w:rsidRDefault="00AD5DB4" w:rsidP="00AD5DB4"/>
    <w:p w14:paraId="543C4725" w14:textId="77777777" w:rsidR="00DB087A" w:rsidRDefault="00DB087A" w:rsidP="00DB087A">
      <w:pPr>
        <w:pStyle w:val="Ttulo3"/>
        <w:numPr>
          <w:ilvl w:val="0"/>
          <w:numId w:val="0"/>
        </w:numPr>
        <w:rPr>
          <w:b/>
          <w:bCs/>
        </w:rPr>
      </w:pPr>
      <w:bookmarkStart w:id="71" w:name="_Toc28034664"/>
      <w:r>
        <w:rPr>
          <w:b/>
          <w:bCs/>
        </w:rPr>
        <w:t>3.3.1.2 Cartórios Extrajudiciais ou Serviço Registral ou Notarial</w:t>
      </w:r>
      <w:bookmarkEnd w:id="71"/>
    </w:p>
    <w:p w14:paraId="27823FDE" w14:textId="77777777" w:rsidR="00DB087A" w:rsidRDefault="00DB087A" w:rsidP="00DB087A"/>
    <w:p w14:paraId="4AD8F0EE" w14:textId="472E2DEA" w:rsidR="00DB087A" w:rsidRDefault="00DB087A" w:rsidP="00DB087A">
      <w:pPr>
        <w:pStyle w:val="corpo"/>
      </w:pPr>
      <w:r>
        <w:t>O reconhecimento de filho, biológico ou afetivo, na via extrajudicial, ou seja, nos Registros Civis das Pessoas Naturais traz benefícios</w:t>
      </w:r>
      <w:r w:rsidRPr="00AC7750">
        <w:t xml:space="preserve"> </w:t>
      </w:r>
      <w:r>
        <w:t xml:space="preserve">à </w:t>
      </w:r>
      <w:r w:rsidRPr="00AC7750">
        <w:t xml:space="preserve">sociedade como um todo. </w:t>
      </w:r>
      <w:r>
        <w:t>T</w:t>
      </w:r>
      <w:r w:rsidRPr="00AC7750">
        <w:t>orna-se pertinente</w:t>
      </w:r>
      <w:r>
        <w:t xml:space="preserve">, então, </w:t>
      </w:r>
      <w:r w:rsidRPr="00AC7750">
        <w:t xml:space="preserve">a análise da atividade </w:t>
      </w:r>
      <w:r>
        <w:t>registral</w:t>
      </w:r>
      <w:r w:rsidRPr="00AC7750">
        <w:t>, vista como um serviço auxiliar</w:t>
      </w:r>
      <w:r>
        <w:t xml:space="preserve"> </w:t>
      </w:r>
      <w:r w:rsidR="001B5D38">
        <w:t>d</w:t>
      </w:r>
      <w:r>
        <w:t>o Judiciário brasileiro</w:t>
      </w:r>
      <w:r w:rsidRPr="00AC7750">
        <w:t xml:space="preserve">, </w:t>
      </w:r>
      <w:r>
        <w:t xml:space="preserve">que </w:t>
      </w:r>
      <w:r w:rsidRPr="00AC7750">
        <w:t>p</w:t>
      </w:r>
      <w:r>
        <w:t>ode oferecer novas possibilidades que garantam uma maior efetividade da justiça</w:t>
      </w:r>
      <w:r w:rsidRPr="00AC7750">
        <w:t>.</w:t>
      </w:r>
    </w:p>
    <w:p w14:paraId="7F9FA6A9" w14:textId="27529BEB" w:rsidR="00DB087A" w:rsidRDefault="00DB087A" w:rsidP="00DB087A">
      <w:pPr>
        <w:pStyle w:val="corpo"/>
      </w:pPr>
      <w:r w:rsidRPr="00E55836">
        <w:t xml:space="preserve">Apenas com o advento da Constituição Federal de 1988, o </w:t>
      </w:r>
      <w:r>
        <w:t>serviço registral</w:t>
      </w:r>
      <w:r w:rsidRPr="00E55836">
        <w:t xml:space="preserve"> brasileiro ganhou força, e relevância jurídica, social e econômica</w:t>
      </w:r>
      <w:r>
        <w:t>. Com forte influência do direito português, a atividade registral era diretamente ligad</w:t>
      </w:r>
      <w:r w:rsidR="001B5D38">
        <w:t>a</w:t>
      </w:r>
      <w:r>
        <w:t xml:space="preserve"> ao Poder Judiciário, e integrava o chamado foro extrajudicial, em que era subordinado às regras de organização judiciária, sendo que os notários e registradores eram confundidos com os funcionários da justiça. Assim, a função registral era vista como uma instituição vinculada ao Poder Judiciário, como um serviço auxiliar, embora suas atividades não tivessem ligação com as desempenhadas por esse poder.</w:t>
      </w:r>
    </w:p>
    <w:p w14:paraId="2AC9972F" w14:textId="47EF473C" w:rsidR="00DB087A" w:rsidRDefault="00DB087A" w:rsidP="00DB087A">
      <w:pPr>
        <w:pStyle w:val="corpo"/>
      </w:pPr>
      <w:r>
        <w:t>Com a Constituição Federal de 1988, houve uma mudança de regime jurídico do serviço registral e notarial brasileiro. O artigo 236, do texto constitucional tr</w:t>
      </w:r>
      <w:r w:rsidR="00AE59F7">
        <w:t>ouxe</w:t>
      </w:r>
      <w:r>
        <w:t xml:space="preserve"> uma </w:t>
      </w:r>
      <w:r>
        <w:rPr>
          <w:rFonts w:eastAsia="Times New Roman"/>
          <w:spacing w:val="2"/>
          <w:lang w:eastAsia="pt-BR"/>
        </w:rPr>
        <w:t>previsão expressa acerca dos serviços notariais e de registro, a saber</w:t>
      </w:r>
      <w:r>
        <w:t>:</w:t>
      </w:r>
    </w:p>
    <w:p w14:paraId="12B9AE3C" w14:textId="77777777" w:rsidR="00DB087A" w:rsidRDefault="00DB087A" w:rsidP="00DB087A"/>
    <w:p w14:paraId="785DE433" w14:textId="77777777" w:rsidR="00DB087A" w:rsidRPr="00F4062C" w:rsidRDefault="00DB087A" w:rsidP="00DB087A">
      <w:pPr>
        <w:pStyle w:val="SemEspaamento"/>
      </w:pPr>
      <w:r w:rsidRPr="00F4062C">
        <w:t>Art. 236. Os serviços notariais e de registro são exercidos em caráter privado, por delegação do Poder Público.</w:t>
      </w:r>
      <w:r w:rsidRPr="00F4062C">
        <w:rPr>
          <w:rStyle w:val="apple-converted-space"/>
          <w:color w:val="000000"/>
        </w:rPr>
        <w:t> </w:t>
      </w:r>
      <w:r w:rsidRPr="00F4062C">
        <w:t xml:space="preserve"> </w:t>
      </w:r>
    </w:p>
    <w:p w14:paraId="45085F67" w14:textId="77777777" w:rsidR="00DB087A" w:rsidRPr="00F4062C" w:rsidRDefault="00DB087A" w:rsidP="00DB087A">
      <w:pPr>
        <w:pStyle w:val="SemEspaamento"/>
      </w:pPr>
      <w:r w:rsidRPr="00F4062C">
        <w:t>§ 1º Lei regulará as atividades, disciplinará a responsabilidade civil e criminal dos notários, dos oficiais de registro e de seus prepostos, e definirá a fiscalização de seus atos pelo Poder Judiciário.</w:t>
      </w:r>
    </w:p>
    <w:p w14:paraId="6D40DB64" w14:textId="77777777" w:rsidR="00DB087A" w:rsidRPr="00F4062C" w:rsidRDefault="00DB087A" w:rsidP="00DB087A">
      <w:pPr>
        <w:pStyle w:val="SemEspaamento"/>
      </w:pPr>
      <w:r w:rsidRPr="00F4062C">
        <w:t>§ 2º Lei federal estabelecerá normas gerais para fixação de emolumentos relativos aos atos praticados pelos serviços notariais e de registro. </w:t>
      </w:r>
      <w:r w:rsidRPr="00F4062C">
        <w:rPr>
          <w:rStyle w:val="apple-converted-space"/>
          <w:color w:val="000000"/>
        </w:rPr>
        <w:t> </w:t>
      </w:r>
      <w:r w:rsidRPr="00F4062C">
        <w:t xml:space="preserve"> </w:t>
      </w:r>
    </w:p>
    <w:p w14:paraId="6C2D7786" w14:textId="77777777" w:rsidR="00DB087A" w:rsidRPr="00F4062C" w:rsidRDefault="00DB087A" w:rsidP="00DB087A">
      <w:pPr>
        <w:pStyle w:val="SemEspaamento"/>
      </w:pPr>
      <w:r w:rsidRPr="00F4062C">
        <w:t>§ 3º O ingresso na atividade notarial e de registro depende de concurso público de provas e títulos, não se permitindo que qualquer serventia fique vaga, sem abertura de concurso de provimento ou de remoção, por mais de seis meses.</w:t>
      </w:r>
    </w:p>
    <w:p w14:paraId="274F349C" w14:textId="77777777" w:rsidR="00DB087A" w:rsidRDefault="00DB087A" w:rsidP="00DB087A"/>
    <w:p w14:paraId="24A211ED" w14:textId="7FD56822" w:rsidR="00DB087A" w:rsidRPr="00D74DD7" w:rsidRDefault="00DB087A" w:rsidP="00DB087A">
      <w:pPr>
        <w:pStyle w:val="corpo"/>
      </w:pPr>
      <w:r>
        <w:t>Os serviços notariais e de registro</w:t>
      </w:r>
      <w:r w:rsidR="00AE59F7">
        <w:t xml:space="preserve"> são </w:t>
      </w:r>
      <w:r>
        <w:t xml:space="preserve">historicamente conhecidos por “cartórios extrajudiciais”, e assim, esse termo também será utilizado ao longo desse trabalho como sinônimo dos serviços notariais e de registro. Os Cartórios deixaram de integrar os órgãos da Administração Pública Direta e a execução de seus serviços foi transferida a </w:t>
      </w:r>
      <w:r>
        <w:rPr>
          <w:rFonts w:eastAsia="Times New Roman"/>
          <w:spacing w:val="2"/>
          <w:lang w:eastAsia="pt-BR"/>
        </w:rPr>
        <w:t>particulares, que recebem a delegação do serviço público notarial e registral, através de concurso público, submetidos à fiscalização do Poder Judiciário</w:t>
      </w:r>
      <w:r>
        <w:rPr>
          <w:rStyle w:val="Refdenotaderodap"/>
          <w:rFonts w:eastAsia="Times New Roman"/>
          <w:spacing w:val="2"/>
          <w:lang w:eastAsia="pt-BR"/>
        </w:rPr>
        <w:footnoteReference w:id="109"/>
      </w:r>
      <w:r>
        <w:rPr>
          <w:rFonts w:eastAsia="Times New Roman"/>
          <w:spacing w:val="2"/>
          <w:lang w:eastAsia="pt-BR"/>
        </w:rPr>
        <w:t xml:space="preserve">. </w:t>
      </w:r>
    </w:p>
    <w:p w14:paraId="78966EFC" w14:textId="248EF1C7" w:rsidR="00DB087A" w:rsidRDefault="00DB087A" w:rsidP="00DB087A">
      <w:pPr>
        <w:pStyle w:val="corpo"/>
      </w:pPr>
      <w:r>
        <w:t>Houve uma grande modificação no regime jurídico do serviço registral e notarial, em que a atividade era subordinada ao Poder Judiciário, e atualmente é exercida por um particular escolhido pelo Estado. É, então, um serviço público exercido em caráter privado. O titular dos serviços notariais e de registro são aprovados em concurso público de provas e títulos, e, através dessa aprovação, recebem a delegação do Estado para cumprir funções estatais</w:t>
      </w:r>
      <w:r w:rsidR="00AE59F7">
        <w:t>.</w:t>
      </w:r>
    </w:p>
    <w:p w14:paraId="3E2CBB19" w14:textId="77777777" w:rsidR="00DB087A" w:rsidRDefault="00DB087A" w:rsidP="00DB087A">
      <w:pPr>
        <w:pStyle w:val="corpo"/>
        <w:rPr>
          <w:rFonts w:eastAsia="Times New Roman"/>
          <w:spacing w:val="2"/>
          <w:szCs w:val="24"/>
          <w:lang w:eastAsia="pt-BR"/>
        </w:rPr>
      </w:pPr>
      <w:r>
        <w:rPr>
          <w:rFonts w:eastAsia="Times New Roman"/>
          <w:spacing w:val="2"/>
          <w:szCs w:val="24"/>
          <w:lang w:eastAsia="pt-BR"/>
        </w:rPr>
        <w:t>O</w:t>
      </w:r>
      <w:r w:rsidRPr="00207C06">
        <w:rPr>
          <w:rFonts w:eastAsia="Times New Roman"/>
          <w:spacing w:val="2"/>
          <w:szCs w:val="24"/>
          <w:lang w:eastAsia="pt-BR"/>
        </w:rPr>
        <w:t xml:space="preserve"> ordenamento jurídico brasileiro </w:t>
      </w:r>
      <w:r>
        <w:rPr>
          <w:rFonts w:eastAsia="Times New Roman"/>
          <w:spacing w:val="2"/>
          <w:szCs w:val="24"/>
          <w:lang w:eastAsia="pt-BR"/>
        </w:rPr>
        <w:t xml:space="preserve">impõe </w:t>
      </w:r>
      <w:r w:rsidRPr="00207C06">
        <w:rPr>
          <w:rFonts w:eastAsia="Times New Roman"/>
          <w:spacing w:val="2"/>
          <w:szCs w:val="24"/>
          <w:lang w:eastAsia="pt-BR"/>
        </w:rPr>
        <w:t>que a atividade notarial e de registro seja exercida em caráter privado, ou seja, o gerenciamento administrativo e financeiro dos</w:t>
      </w:r>
      <w:r w:rsidR="001A0382">
        <w:rPr>
          <w:rFonts w:eastAsia="Times New Roman"/>
          <w:spacing w:val="2"/>
          <w:szCs w:val="24"/>
          <w:lang w:eastAsia="pt-BR"/>
        </w:rPr>
        <w:t xml:space="preserve"> </w:t>
      </w:r>
      <w:r>
        <w:rPr>
          <w:rFonts w:eastAsia="Times New Roman"/>
          <w:spacing w:val="2"/>
          <w:szCs w:val="24"/>
          <w:lang w:eastAsia="pt-BR"/>
        </w:rPr>
        <w:t>cartórios extrajudiciais</w:t>
      </w:r>
      <w:r w:rsidRPr="00207C06">
        <w:rPr>
          <w:rFonts w:eastAsia="Times New Roman"/>
          <w:spacing w:val="2"/>
          <w:szCs w:val="24"/>
          <w:lang w:eastAsia="pt-BR"/>
        </w:rPr>
        <w:t xml:space="preserve"> </w:t>
      </w:r>
      <w:r>
        <w:rPr>
          <w:rFonts w:eastAsia="Times New Roman"/>
          <w:spacing w:val="2"/>
          <w:szCs w:val="24"/>
          <w:lang w:eastAsia="pt-BR"/>
        </w:rPr>
        <w:t>são de</w:t>
      </w:r>
      <w:r w:rsidRPr="00207C06">
        <w:rPr>
          <w:rFonts w:eastAsia="Times New Roman"/>
          <w:spacing w:val="2"/>
          <w:szCs w:val="24"/>
          <w:lang w:eastAsia="pt-BR"/>
        </w:rPr>
        <w:t xml:space="preserve"> responsabilidade exclusiva do respectivo titular, inclusive </w:t>
      </w:r>
      <w:r>
        <w:rPr>
          <w:rFonts w:eastAsia="Times New Roman"/>
          <w:spacing w:val="2"/>
          <w:szCs w:val="24"/>
          <w:lang w:eastAsia="pt-BR"/>
        </w:rPr>
        <w:t>n</w:t>
      </w:r>
      <w:r w:rsidRPr="00207C06">
        <w:rPr>
          <w:rFonts w:eastAsia="Times New Roman"/>
          <w:spacing w:val="2"/>
          <w:szCs w:val="24"/>
          <w:lang w:eastAsia="pt-BR"/>
        </w:rPr>
        <w:t>o que diz respeito às despesas de custeio, investimento e pessoal, ficando vedada a atuação direta do Estado na gestão das Serventias.</w:t>
      </w:r>
      <w:r>
        <w:rPr>
          <w:rFonts w:eastAsia="Times New Roman"/>
          <w:spacing w:val="2"/>
          <w:szCs w:val="24"/>
          <w:lang w:eastAsia="pt-BR"/>
        </w:rPr>
        <w:t xml:space="preserve"> </w:t>
      </w:r>
    </w:p>
    <w:p w14:paraId="55128A2B" w14:textId="393BDEC0" w:rsidR="00DB087A" w:rsidRDefault="00DB087A" w:rsidP="00DB087A">
      <w:pPr>
        <w:pStyle w:val="corpo"/>
      </w:pPr>
      <w:r>
        <w:rPr>
          <w:rFonts w:eastAsia="Times New Roman"/>
          <w:spacing w:val="2"/>
          <w:lang w:eastAsia="pt-BR"/>
        </w:rPr>
        <w:t xml:space="preserve">No Brasil, há a imperatividade do exercício da atividade notarial e de registro em caráter privado, vedada a atuação direta do Estado. </w:t>
      </w:r>
      <w:r>
        <w:t xml:space="preserve">Em contrapartida, </w:t>
      </w:r>
      <w:r w:rsidR="00F4342B">
        <w:t>em razão dos delegados</w:t>
      </w:r>
      <w:r>
        <w:t xml:space="preserve"> prestarem um serviço público, </w:t>
      </w:r>
      <w:r w:rsidR="00F4342B">
        <w:t>eles</w:t>
      </w:r>
      <w:r>
        <w:t xml:space="preserve"> são escolhidos através de concurso público, e fiscalizado</w:t>
      </w:r>
      <w:r w:rsidR="00F4342B">
        <w:t>s</w:t>
      </w:r>
      <w:r>
        <w:t xml:space="preserve"> pelo Poder Judiciário. </w:t>
      </w:r>
    </w:p>
    <w:p w14:paraId="434B7687" w14:textId="77777777" w:rsidR="00DB087A" w:rsidRDefault="00DB087A" w:rsidP="00DB087A">
      <w:pPr>
        <w:pStyle w:val="corpo"/>
      </w:pPr>
      <w:r>
        <w:t xml:space="preserve">Isso quer “dizer que, no exercício de suas funções, eles são agentes </w:t>
      </w:r>
      <w:r w:rsidRPr="002C4EB6">
        <w:t>p</w:t>
      </w:r>
      <w:r>
        <w:t xml:space="preserve">úblicos. De acordo com a lei, o Notário e o Registrador ‘são </w:t>
      </w:r>
      <w:r w:rsidRPr="002C4EB6">
        <w:t>p</w:t>
      </w:r>
      <w:r>
        <w:t xml:space="preserve">rofissionais do direito, dotados de fé </w:t>
      </w:r>
      <w:r w:rsidRPr="002C4EB6">
        <w:t>p</w:t>
      </w:r>
      <w:r>
        <w:t>ública, a quem é delegado o exercício da atividade Notarial e de Registro”</w:t>
      </w:r>
      <w:r>
        <w:rPr>
          <w:rStyle w:val="Refdenotaderodap"/>
        </w:rPr>
        <w:footnoteReference w:id="110"/>
      </w:r>
      <w:r>
        <w:t>. Verifica-se que a atividade notarial é singular, não se equi</w:t>
      </w:r>
      <w:r w:rsidRPr="00AC7750">
        <w:t>p</w:t>
      </w:r>
      <w:r>
        <w:t xml:space="preserve">arando a qualquer outra, já que é um serviço </w:t>
      </w:r>
      <w:r w:rsidRPr="00AC7750">
        <w:t>p</w:t>
      </w:r>
      <w:r>
        <w:t>úblico de gestão privada. Além disso, importante as palavras de Orlandi Neto</w:t>
      </w:r>
      <w:r>
        <w:rPr>
          <w:rStyle w:val="Refdenotaderodap"/>
        </w:rPr>
        <w:footnoteReference w:id="111"/>
      </w:r>
      <w:r>
        <w:t xml:space="preserve"> sobre a situação peculiar dos serviços notariais e de registro: </w:t>
      </w:r>
    </w:p>
    <w:p w14:paraId="410EE9E4" w14:textId="77777777" w:rsidR="00DB087A" w:rsidRDefault="00DB087A" w:rsidP="00DB087A"/>
    <w:p w14:paraId="742FA94A" w14:textId="77777777" w:rsidR="00DB087A" w:rsidRPr="00937EE6" w:rsidRDefault="00DB087A" w:rsidP="00DB087A">
      <w:pPr>
        <w:pStyle w:val="SemEspaamento"/>
      </w:pPr>
      <w:r w:rsidRPr="00937EE6">
        <w:t xml:space="preserve">Em nosso sistema, os serviços notariais e de registro sempre foram considerados públicos. Até 1994, com a Lei 8.935, de 18 de novembro, eram prestados por pessoal vinculado ao Poder Judiciário. Embora não fossem funcionários públicos, porque não eram propriamente estatutários, também não eram celetistas. Aplicava-se-lhes o estatuto dos funcionários públicos, mas apenas supletivamente. O sistema de admissão, a estabilidade, o regime disciplinar e a aposentadoria tinham normas próprias, constantes de provimentos e resoluções do próprio Poder Judiciário. Os titulares dos serviços estavam sujeitos ao mesmo regime. Vinculados diretamente ao Poder Judiciário, contratavam seus funcionários pelas normas já referidas. Os serviços eram chamados extrajudiciais, como forma de separá-los dos serviços judiciais, isto é, daqueles ligados à atividade jurisdicional. Cartórios judiciais e cartórios extrajudiciais compunham, assim, a </w:t>
      </w:r>
      <w:proofErr w:type="spellStart"/>
      <w:r w:rsidRPr="00937EE6">
        <w:t>infra-estrutura</w:t>
      </w:r>
      <w:proofErr w:type="spellEnd"/>
      <w:r w:rsidRPr="00937EE6">
        <w:t xml:space="preserve"> do Poder Judiciário, cada qual com seu campo de atuação. Os estabelecimentos em que os serviços extrajudiciais eram prestados chamavam-se cartórios extrajudiciais e cartorários eram os funcionários.           </w:t>
      </w:r>
    </w:p>
    <w:p w14:paraId="637E7770" w14:textId="77777777" w:rsidR="00DB087A" w:rsidRDefault="00DB087A" w:rsidP="00DB087A"/>
    <w:p w14:paraId="05B8F1C3" w14:textId="77777777" w:rsidR="00DB087A" w:rsidRDefault="00DB087A" w:rsidP="00DB087A">
      <w:pPr>
        <w:pStyle w:val="corpo"/>
      </w:pPr>
      <w:r>
        <w:t xml:space="preserve">Em 1994 houve a regulamentação do dispositivo constitucional </w:t>
      </w:r>
      <w:r>
        <w:sym w:font="Symbol" w:char="F028"/>
      </w:r>
      <w:r>
        <w:t>artigo 236, CF</w:t>
      </w:r>
      <w:r>
        <w:sym w:font="Symbol" w:char="F029"/>
      </w:r>
      <w:r>
        <w:t xml:space="preserve"> com a entrada em vigor da Lei nº 8.935, denominada de Lei dos Notários e Registradores. Referida lei trouxe a normatização específica dos serviços notariais e registrais. O artigo 1º da Lei nº 8.935/94 dispõe que os “serviços notariais e de registro são os de organização técnica e administrativa destinados a garantir a publicidade, autenticidade, segurança e eficácia dos atos jurídicos”.   </w:t>
      </w:r>
    </w:p>
    <w:p w14:paraId="231F72CD" w14:textId="77777777" w:rsidR="00DB087A" w:rsidRDefault="00DB087A" w:rsidP="00DB087A">
      <w:pPr>
        <w:pStyle w:val="corpo"/>
      </w:pPr>
      <w:r>
        <w:t xml:space="preserve">Tal legislação deixou bem claro, principalmente em seu artigo 28, o caráter de independência conferido ao Notário e Registrador, em sua atuação. Nesses termos, os titulares da serventia têm autonomia e independência nas suas decisões, devendo respeito ao ordenamento jurídico, especialmente às normas regulamentadoras de sua atividade. Assim, um mandado judicial que ordene a realização de determinado registro sem observância das normas dos Serviços Extrajudiciais pode ser barrado pelo titular do Cartório, que deverá fazer uma nota devolutiva explicando os motivos pelos quais referido mandado não poderá ser registrado. </w:t>
      </w:r>
    </w:p>
    <w:p w14:paraId="0883D55A" w14:textId="77777777" w:rsidR="00DB087A" w:rsidRDefault="00DB087A" w:rsidP="00DB087A">
      <w:pPr>
        <w:pStyle w:val="corpo"/>
      </w:pPr>
      <w:r>
        <w:t xml:space="preserve">Todo esse procedimento é realizado em razão do serviço extrajudicial seguir normatização e princípios específicos, que estão em regulamentos como a lei dos Registros Públicos (Lei nº 6.015/73), Lei dos Notários e Registradores (Lei nº 8.935/94), e as Normas de Serviço do Extrajudicial, sendo que estas são editadas em nível estadual, havendo normatização específica em cada Estado da Federação    </w:t>
      </w:r>
    </w:p>
    <w:p w14:paraId="449C9DFC" w14:textId="076F257B" w:rsidR="00DB087A" w:rsidRDefault="00DB087A" w:rsidP="00DB087A">
      <w:pPr>
        <w:pStyle w:val="corpo"/>
      </w:pPr>
      <w:r>
        <w:t>O Poder Judiciário, nesse momento, tornou-se apenas um fiscalizador/regulador da função notarial e de registro. Cabe ao Poder Judiciário a fiscalização dos atos dos notários e registradores, em que pressupõe o estabelecimento, o controle e a verificação do cumprimento de regras, com a correspondente aplicação de penas aos respectivos infratores</w:t>
      </w:r>
      <w:r>
        <w:rPr>
          <w:rStyle w:val="Refdenotaderodap"/>
        </w:rPr>
        <w:footnoteReference w:id="112"/>
      </w:r>
      <w:r>
        <w:t xml:space="preserve">. Assim, em cada comarca do País estão as Corregedorias Permanentes do Extrajudicial, com seu respectivo Juiz Corregedor Permanente, a quem é incumbido o controle da prestação dos serviços notariais e registrais. </w:t>
      </w:r>
    </w:p>
    <w:p w14:paraId="4765A08B" w14:textId="016442B5" w:rsidR="00DB087A" w:rsidRDefault="00DB087A" w:rsidP="00DB087A">
      <w:pPr>
        <w:pStyle w:val="corpo"/>
        <w:rPr>
          <w:szCs w:val="24"/>
        </w:rPr>
      </w:pPr>
      <w:r>
        <w:rPr>
          <w:szCs w:val="24"/>
        </w:rPr>
        <w:t xml:space="preserve">Importante ressaltar que, apesar dos notários e registradores exercerem uma atividade jurídica e estarem vinculados ao Poder Judiciário, eles não exercem uma atividade jurisdicional, que é exercida pelos juízes de direito.    </w:t>
      </w:r>
    </w:p>
    <w:p w14:paraId="7E5FCEE0" w14:textId="3C905F43" w:rsidR="00E836E1" w:rsidRDefault="00E836E1" w:rsidP="00DB087A">
      <w:pPr>
        <w:pStyle w:val="corpo"/>
        <w:rPr>
          <w:szCs w:val="24"/>
        </w:rPr>
      </w:pPr>
    </w:p>
    <w:p w14:paraId="09A36456" w14:textId="77777777" w:rsidR="00E836E1" w:rsidRDefault="00E836E1" w:rsidP="00DB087A">
      <w:pPr>
        <w:pStyle w:val="corpo"/>
        <w:rPr>
          <w:szCs w:val="24"/>
        </w:rPr>
      </w:pPr>
    </w:p>
    <w:p w14:paraId="20CCBFBA" w14:textId="77777777" w:rsidR="0071059B" w:rsidRDefault="0071059B" w:rsidP="00DB087A">
      <w:pPr>
        <w:pStyle w:val="corpo"/>
        <w:rPr>
          <w:szCs w:val="24"/>
        </w:rPr>
      </w:pPr>
    </w:p>
    <w:p w14:paraId="69E40421" w14:textId="77777777" w:rsidR="0071059B" w:rsidRDefault="0071059B" w:rsidP="0071059B">
      <w:pPr>
        <w:pStyle w:val="Ttulo3"/>
        <w:numPr>
          <w:ilvl w:val="0"/>
          <w:numId w:val="0"/>
        </w:numPr>
        <w:rPr>
          <w:b/>
          <w:bCs/>
        </w:rPr>
      </w:pPr>
      <w:bookmarkStart w:id="72" w:name="_Toc28034665"/>
      <w:r>
        <w:rPr>
          <w:b/>
          <w:bCs/>
        </w:rPr>
        <w:t xml:space="preserve">3.3.1.3 </w:t>
      </w:r>
      <w:r w:rsidR="0051198C">
        <w:rPr>
          <w:b/>
          <w:bCs/>
        </w:rPr>
        <w:t>Provimento n° 63</w:t>
      </w:r>
      <w:r w:rsidR="00824D35">
        <w:rPr>
          <w:b/>
          <w:bCs/>
        </w:rPr>
        <w:t>/2017</w:t>
      </w:r>
      <w:r w:rsidR="0051198C">
        <w:rPr>
          <w:b/>
          <w:bCs/>
        </w:rPr>
        <w:t>, do Conselho Nacional de Justiça</w:t>
      </w:r>
      <w:bookmarkEnd w:id="72"/>
    </w:p>
    <w:p w14:paraId="6B7F63B7" w14:textId="77777777" w:rsidR="00691663" w:rsidRDefault="00691663" w:rsidP="00691663"/>
    <w:p w14:paraId="11215BBE" w14:textId="5D4C1871" w:rsidR="00691663" w:rsidRDefault="00691663" w:rsidP="00691663">
      <w:pPr>
        <w:pStyle w:val="corpo"/>
      </w:pPr>
      <w:r>
        <w:t xml:space="preserve">No Brasil, nos casos em que houve apenas o estabelecimento da maternidade no registro da criança, existe a possibilidade de se </w:t>
      </w:r>
      <w:r w:rsidR="00615222">
        <w:t xml:space="preserve">fixar </w:t>
      </w:r>
      <w:r>
        <w:t>a paternidade através do procedimento de reconhecimento de filho biológico nos Registros Civis das Pessoas Naturais. Est</w:t>
      </w:r>
      <w:r w:rsidR="00541924">
        <w:t>e procedimento já</w:t>
      </w:r>
      <w:r>
        <w:t xml:space="preserve"> é </w:t>
      </w:r>
      <w:r w:rsidR="00541924">
        <w:t>realizável e</w:t>
      </w:r>
      <w:r>
        <w:t>m todo o País, em decorrência da padronização legislativa em nível federal, que ocorreu com a edição do Provimento nº 16/2012, do Conselho Nacional de Justiça, já estudado anteriormente.</w:t>
      </w:r>
    </w:p>
    <w:p w14:paraId="47C95008" w14:textId="77777777" w:rsidR="00691663" w:rsidRDefault="00691663" w:rsidP="00691663">
      <w:pPr>
        <w:pStyle w:val="corpo"/>
      </w:pPr>
      <w:r>
        <w:t xml:space="preserve">Tal provimento </w:t>
      </w:r>
      <w:r w:rsidR="00541924">
        <w:t xml:space="preserve">regulamentou </w:t>
      </w:r>
      <w:r>
        <w:t xml:space="preserve">o reconhecimento do filho biológico, que foi registrado sem a paternidade estabelecida. </w:t>
      </w:r>
      <w:r w:rsidR="00541924">
        <w:t>No entanto</w:t>
      </w:r>
      <w:r>
        <w:t>, o Princípio da igualdade entre os filhos, que</w:t>
      </w:r>
      <w:r w:rsidR="00541924">
        <w:t xml:space="preserve"> prevê a proibição de</w:t>
      </w:r>
      <w:r>
        <w:t xml:space="preserve"> </w:t>
      </w:r>
      <w:r w:rsidR="00541924">
        <w:t xml:space="preserve">qualquer tipo de discriminação entre </w:t>
      </w:r>
      <w:r w:rsidR="00D84687">
        <w:t>eles</w:t>
      </w:r>
      <w:r w:rsidR="00541924">
        <w:t>, tem como propósito</w:t>
      </w:r>
      <w:r>
        <w:t xml:space="preserve"> igualar o procedimento de reconhecimento de filiação perante os Registros Civis, independentemente da origem da filiação. </w:t>
      </w:r>
    </w:p>
    <w:p w14:paraId="11100BBD" w14:textId="12A62B07" w:rsidR="00691663" w:rsidRDefault="00691663" w:rsidP="00691663">
      <w:pPr>
        <w:pStyle w:val="corpo"/>
      </w:pPr>
      <w:r>
        <w:t xml:space="preserve">Assim, em termos de procedimento extrajudicial de reconhecimento, os filhos do mesmo pai </w:t>
      </w:r>
      <w:r w:rsidR="006D4469">
        <w:t>devem ser</w:t>
      </w:r>
      <w:r>
        <w:t xml:space="preserve"> tratados da mesma forma, sem se fazer distinções em relação a serem eles legítimos, ilegítimos, adulterinos, incestuosos, entre outros. Nesses termos, os filhos biológicos havidos fora do casamento podem ser reconhecidos no Registro Civil através de uma mera declaração do pai, sem se fazer qualquer questionamento acerca da origem da filiação.</w:t>
      </w:r>
    </w:p>
    <w:p w14:paraId="2F9F1A6B" w14:textId="239FD748" w:rsidR="00691663" w:rsidRDefault="0060553B" w:rsidP="00691663">
      <w:pPr>
        <w:pStyle w:val="corpo"/>
      </w:pPr>
      <w:r>
        <w:t>E</w:t>
      </w:r>
      <w:r w:rsidR="00691663">
        <w:t>m razão da mudança de paradigma que sofre o direito de família brasileiro, bem como com a valorização de todos os princípios aplicáveis ao estado de filiação socioafetiva visto no Capítulo I, aos filhos socioafetivos também se garantem direitos equivalentes aos conferidos aos biológicos, principalmente quanto ao reconhecimento de paternidade, ressalvada algumas diferenças estabelecidas pela lei. Importante ressaltar que essas distinções legais só são possíveis quando houver motivo para o discrímen.</w:t>
      </w:r>
    </w:p>
    <w:p w14:paraId="05C53CA9" w14:textId="77777777" w:rsidR="00691663" w:rsidRDefault="00691663" w:rsidP="00691663">
      <w:pPr>
        <w:pStyle w:val="corpo"/>
      </w:pPr>
      <w:r>
        <w:t>A possibilidade do reconhecimento de filho socioafetivo diretamente no Oficial de Registro Civil das Pessoas Naturais engrandece o princípio da igualdade entre os filhos e valoriza as famílias construídas em torno do afeto. Isso também enaltece a verdade real, que deve ser compatibilizada com a verdade registral. Entretanto, sabe-se que a filiação socioafetiva ainda é um modelo novo de filiação, e por isso deve ser interpretada à luz dos novos princípios constitucionais que direcionam o Direito de Família.</w:t>
      </w:r>
    </w:p>
    <w:p w14:paraId="7AB4E54D" w14:textId="0D6EF936" w:rsidR="00691663" w:rsidRDefault="00691663" w:rsidP="00691663">
      <w:pPr>
        <w:pStyle w:val="corpo"/>
      </w:pPr>
      <w:r>
        <w:t xml:space="preserve">Até meados do ano de 2017, nos casos de reconhecimento de </w:t>
      </w:r>
      <w:r w:rsidR="0060553B">
        <w:t>paternidade</w:t>
      </w:r>
      <w:r>
        <w:t xml:space="preserve"> ainda </w:t>
      </w:r>
      <w:r w:rsidR="0060553B">
        <w:t>havia</w:t>
      </w:r>
      <w:r>
        <w:t xml:space="preserve"> distinções entre os filhos, em razão de sua origem, o que se </w:t>
      </w:r>
      <w:r w:rsidR="00A84BEA">
        <w:t>de</w:t>
      </w:r>
      <w:r>
        <w:t>mostrava inconstitucional. Aos filhos socioafetivos, ao contrário do que ocorria com os filhos biológicos, era conferido o dispendioso e moroso caminho da via judicial para que pudessem ter sua paternidade estabelecida.</w:t>
      </w:r>
    </w:p>
    <w:p w14:paraId="08CDA6E0" w14:textId="7D0D9F4A" w:rsidR="00691663" w:rsidRDefault="00691663" w:rsidP="00691663">
      <w:pPr>
        <w:pStyle w:val="corpo"/>
      </w:pPr>
      <w:r>
        <w:t>Nesses termos, verificando a inconstitucionalidade no tratamento diferenciado entre os filhos biológicos e socioafetivos, bem como a ampla aceitação doutrinária e jurisprudencial acerca da paternidade socioafetiva, o Conselho Nacional de Justiça, em novembro de 2017 editou o Provimento nº 63, que autoriza o reconhecimento de filho socioafetivo diretamente nos Registros Civis das Pessoas Naturais, sem qualquer intervenção judicial, que analisaremos a seguir.</w:t>
      </w:r>
    </w:p>
    <w:p w14:paraId="54878211" w14:textId="77777777" w:rsidR="00691663" w:rsidRDefault="00691663" w:rsidP="00691663">
      <w:pPr>
        <w:pStyle w:val="corpo"/>
      </w:pPr>
      <w:r>
        <w:t xml:space="preserve">Inicialmente cumpre destacar que o Provimento n° 63/2017, CNJ foi atualmente alterado em alguns de seus artigos pelo Provimento n° 83, de 14 de agosto de 2019, do CNJ. A alteração originada do Provimento n° 83/2019, CNJ baseou-se na diferença existente entre o estabelecimento de uma paternidade decorrente da filiação biológica com a de uma filiação socioafetiva. O Conselho Nacional de Justiça alterou do Provimento n° 63/2017, CNJ, principalmente em razão de um pedido de providências do Colégio de Coordenadores da Infância e da Juventude dos Tribunais de Justiça do Brasil sob o n° 0001711-40.2018.2.00.0000. </w:t>
      </w:r>
    </w:p>
    <w:p w14:paraId="6D95A3D5" w14:textId="77777777" w:rsidR="00691663" w:rsidRDefault="00691663" w:rsidP="00691663">
      <w:pPr>
        <w:pStyle w:val="corpo"/>
      </w:pPr>
      <w:r>
        <w:t>Mencionado pedido de providências traz os motivos para se fixarem diferenças nos procedimentos de reconhecimento de filho biológico e do socioafetivo. A filiação socioafetiva, em regra, tem origem em ato de vontade daquele que pretende assumir a paternidade, e se consolida mediante a formação de vínculos afetivos profundos e duradouros e manutenção de convivência, gerando hipóteses como a posse de estado de filho nos casos em que não levada ao Registro Civil das Pessoas Naturais. Nesses termos, sendo a filiação socioafetiva decorrente da consolidação do ato de vontade para sua formação, o que ocorre com a formação de vínculos afetivos e sociais entre genitores e filho, os requisitos para o seu reconhecimento são distintos daqueles fixados para a declaração da filiação biológica. Ademais, a filiação socioafetiva tem origem e elementos de constituição distintos da filiação biológica.</w:t>
      </w:r>
    </w:p>
    <w:p w14:paraId="20BB2488" w14:textId="50992316" w:rsidR="00691663" w:rsidRDefault="00691663" w:rsidP="00691663">
      <w:pPr>
        <w:pStyle w:val="corpo"/>
      </w:pPr>
      <w:r>
        <w:t xml:space="preserve">Todos esses fatores acima mencionados foram levados em consideração para que se fizessem alterações no procedimento de reconhecimento de filho socioafetivo. Assim, verificou-se que o estabelecimento de paternidade com origem socioafetiva exigia uma análise diferenciada por parte do oficial registrador, o que, consequentemente, impede a adoção de procedimento administrativo dotado dos mesmos requisitos. Pelos mesmos motivos também houve a mudança legislativa para não se permitir que o procedimento do reconhecimento socioafetivo fosse puramente administrativo, ou seja, realizado totalmente perante os Oficiais de Registro Civil das Pessoas Naturais, sem a intervenção judicial ou do ministério público. </w:t>
      </w:r>
    </w:p>
    <w:p w14:paraId="46753C83" w14:textId="170F4B72" w:rsidR="00691663" w:rsidRDefault="00691663" w:rsidP="00691663">
      <w:pPr>
        <w:pStyle w:val="corpo"/>
      </w:pPr>
      <w:r>
        <w:t xml:space="preserve"> Analisando o Provimento n° 63/2017, CNJ, verifica-se que o registrador civil tem o dever de colher a manifestação de vontade de todos os interessados, após a análise e conferência de todos os seus documentos pessoais, sendo imprescindível a apresentação da certidão de nascimento do filho a ser reconhecido. O provimento indica </w:t>
      </w:r>
      <w:r w:rsidR="00F2567A">
        <w:t>a</w:t>
      </w:r>
      <w:r>
        <w:t xml:space="preserve"> necess</w:t>
      </w:r>
      <w:r w:rsidR="00F2567A">
        <w:t>idade de</w:t>
      </w:r>
      <w:r>
        <w:t xml:space="preserve"> informar às partes sobre a irrevogabilidade do ato, a fim de que elas tenham ciência da relevância do reconhecimento. Nesses termos, o artigo 10, § 1°, do Provimento n ° 63/2017 esclarece que o reconhecimento voluntário da paternidade ou maternidade será irrevogável, somente podendo ser desconstituído pela via judicial, nas hipóteses de vício da vontade, fraude ou simulação. </w:t>
      </w:r>
    </w:p>
    <w:p w14:paraId="1A9F55E5" w14:textId="0D37610A" w:rsidR="00691663" w:rsidRDefault="00691663" w:rsidP="00691663">
      <w:pPr>
        <w:pStyle w:val="corpo"/>
      </w:pPr>
      <w:r>
        <w:t>Ainda, é necessário verificar se o requerente é maior de 18 anos, bem como se ele e o filho a ser reconhecido não são irmãos ou ascendente e descendente um do outro (art. 10, § 3°, Provimento n° 63/2017, CNJ). E, quanto ao requerente, a lei também faz menção de que seu estado civil não influenci</w:t>
      </w:r>
      <w:r w:rsidR="00F2567A">
        <w:t>e</w:t>
      </w:r>
      <w:r>
        <w:t xml:space="preserve"> no ato de reconhecimento, ou seja, o pai interessado em reconhecer</w:t>
      </w:r>
      <w:r w:rsidR="00F2567A">
        <w:t xml:space="preserve"> o</w:t>
      </w:r>
      <w:r>
        <w:t xml:space="preserve"> filho socioafetivo pode ter um relacionamento matrimonial, e querer reconhecer o filho de uma relação extraconjugal.  </w:t>
      </w:r>
    </w:p>
    <w:p w14:paraId="6DAEDFAC" w14:textId="77777777" w:rsidR="00691663" w:rsidRDefault="00691663" w:rsidP="00691663">
      <w:pPr>
        <w:pStyle w:val="corpo"/>
      </w:pPr>
      <w:r>
        <w:t xml:space="preserve">Imprescindível também, para o reconhecimento de filho socioafetivo, que haja uma diferença mínima de 16 anos entre o filho e o requerente. E, além disso, nos casos de filho menor é necessária a anuência dos pais biológicos quanto ao procedimento a ser realizado, bem como, tendo o filho mais de 12 anos de idade é indispensável o seu consentimento. </w:t>
      </w:r>
    </w:p>
    <w:p w14:paraId="68C7AD23" w14:textId="56265012" w:rsidR="00691663" w:rsidRDefault="00691663" w:rsidP="00691663">
      <w:pPr>
        <w:pStyle w:val="corpo"/>
      </w:pPr>
      <w:r>
        <w:t xml:space="preserve">Mais adiante, nas </w:t>
      </w:r>
      <w:r w:rsidR="00F2567A">
        <w:t xml:space="preserve">hipóteses </w:t>
      </w:r>
      <w:r>
        <w:t xml:space="preserve">em que não fosse possível a coleta da manifestação de vontade de algum dos envolvidos, o mesmo não poderia dar seguimento na via extrajudicial. Isso porque a coleta da anuência tanto do pai quanto da mãe e do filho maior de 12 anos deverá ser feita pessoalmente perante o oficial de registro civil das pessoas naturais ou escrevente autorizado (art. 11, § 5°, Provimento n° 63/2017, CNJ). </w:t>
      </w:r>
    </w:p>
    <w:p w14:paraId="4F4A0808" w14:textId="34AD407F" w:rsidR="00691663" w:rsidRDefault="00691663" w:rsidP="0089371F">
      <w:pPr>
        <w:pStyle w:val="corpo"/>
        <w:tabs>
          <w:tab w:val="clear" w:pos="4252"/>
          <w:tab w:val="clear" w:pos="8504"/>
        </w:tabs>
      </w:pPr>
      <w:r>
        <w:t xml:space="preserve">E, na impossibilidade de manifestação válida </w:t>
      </w:r>
      <w:r w:rsidR="000A05BD">
        <w:t>dos pais do menor</w:t>
      </w:r>
      <w:r>
        <w:t xml:space="preserve"> ou do filho, quando exigido, o caso será apresentado ao juiz competente nos termos da legislação local (art. 11, § 6°, Provimento n° 63/2017, CNJ). Assim, nesses casos, o reconhecimento de filho socioafetivo só poderia ser realizado com a chancela do Poder Judiciário.</w:t>
      </w:r>
    </w:p>
    <w:p w14:paraId="6622FF75" w14:textId="5133A134" w:rsidR="00691663" w:rsidRDefault="00691663" w:rsidP="00691663">
      <w:pPr>
        <w:pStyle w:val="corpo"/>
      </w:pPr>
      <w:r>
        <w:t xml:space="preserve">Por fim, nas hipóteses em que o oficial suspeitar de fraude, falsidade, má-fé, vício de vontade, simulação ou dúvida sobre a configuração do estado de posse de filho, o registrador fundamentará a recusa, não praticará o ato e encaminhará o pedido ao juiz competente nos termos da legislação local (art. 12, Provimento n° 63/2017, CNJ). Assim, nessas situações não caberá ao oficial registrador verificar se realmente houve fraude ou falsidade na declaração de existência de relação socioafetiva entre pai e filho. A função do registrador deve ficar adstrita à lei, </w:t>
      </w:r>
      <w:r w:rsidR="000A05BD">
        <w:t>e</w:t>
      </w:r>
      <w:r>
        <w:t xml:space="preserve"> não cabe a ele fazer julgamentos sobre o caso concreto, mas apenas enviar sua suspeita ao juiz competente, que investigará eventuais fraudes.   </w:t>
      </w:r>
    </w:p>
    <w:p w14:paraId="67AF2290" w14:textId="77777777" w:rsidR="00691663" w:rsidRDefault="00691663" w:rsidP="00386C34">
      <w:pPr>
        <w:pStyle w:val="corpo"/>
        <w:tabs>
          <w:tab w:val="clear" w:pos="4252"/>
          <w:tab w:val="clear" w:pos="8504"/>
        </w:tabs>
      </w:pPr>
      <w:r>
        <w:t xml:space="preserve">Por sua vez, o Provimento n° 63/2017, CNJ foi objeto de modificações, a partir de sugestões apresentadas à Corregedoria Nacional, que deram origem à edição do Provimento n° 83/2019, CNJ. A primeira modificação verificada foi a mudança de idade dos filhos que podem ser reconhecidos pelo procedimento. O artigo 10, do Provimento n° 83/2019, CNJ só autoriza o reconhecimento socioafetivo na via extrajudicial aos filhos com mais de 12 anos.  </w:t>
      </w:r>
    </w:p>
    <w:p w14:paraId="44CDE034" w14:textId="0B3C8C39" w:rsidR="00691663" w:rsidRDefault="00691663" w:rsidP="00691663">
      <w:pPr>
        <w:pStyle w:val="corpo"/>
      </w:pPr>
      <w:r>
        <w:t xml:space="preserve">Buscou-se evitar a utilização do procedimento para os casos em que não se enquadrassem às relações socioafetivas, como os casos de adoção à brasileira. Houve o intuito de </w:t>
      </w:r>
      <w:r w:rsidR="004A3B82">
        <w:t xml:space="preserve">levar </w:t>
      </w:r>
      <w:r>
        <w:t xml:space="preserve">as partes interessadas </w:t>
      </w:r>
      <w:r w:rsidR="004A3B82">
        <w:t xml:space="preserve">a </w:t>
      </w:r>
      <w:r>
        <w:t>utiliza</w:t>
      </w:r>
      <w:r w:rsidR="004A3B82">
        <w:t>rem</w:t>
      </w:r>
      <w:r>
        <w:t xml:space="preserve"> os instrumentos adequados, a fim de se concretizar a verdadeira relação jurídica existente entre pai e filho. Importante ressaltar que o dispositivo anterior não limitava o reconhecimento socioafetivo apenas aos adolescentes, ou seja, aos filhos maiores de 12 anos. Antes da alteração legislativa, o reconhecimento socioafetivo, na via extrajudicial, era reservado aos menores e maiores de idade; o provimento não fazia distinções etárias aos filhos que poderiam ou não ser reconhecidos.  </w:t>
      </w:r>
    </w:p>
    <w:p w14:paraId="291F0854" w14:textId="6ED72BC9" w:rsidR="00691663" w:rsidRDefault="00691663" w:rsidP="00691663">
      <w:pPr>
        <w:pStyle w:val="corpo"/>
      </w:pPr>
      <w:r>
        <w:t>Mais adiante, houve uma alteração no Provimento n° 63/2017, para se incluir a necessidade de um conjunto probatório</w:t>
      </w:r>
      <w:r w:rsidR="004A3B82">
        <w:t xml:space="preserve"> para </w:t>
      </w:r>
      <w:r>
        <w:t xml:space="preserve">se comprovar a existência da relação socioafetiva entre pai e filho. O mencionado provimento </w:t>
      </w:r>
      <w:r w:rsidR="0049754D">
        <w:t xml:space="preserve">exige </w:t>
      </w:r>
      <w:r>
        <w:t xml:space="preserve">que a paternidade socioafetiva seja estável e exteriorizada socialmente. </w:t>
      </w:r>
      <w:r w:rsidR="009B0BF8">
        <w:t>O</w:t>
      </w:r>
      <w:r>
        <w:t xml:space="preserve"> registrador dev</w:t>
      </w:r>
      <w:r w:rsidR="009B0BF8">
        <w:t>e</w:t>
      </w:r>
      <w:r>
        <w:t xml:space="preserve"> atestar a existência do vínculo</w:t>
      </w:r>
      <w:r w:rsidR="009B0BF8">
        <w:t xml:space="preserve"> de</w:t>
      </w:r>
      <w:r>
        <w:t xml:space="preserve"> afeto da paternidade socioafetiva mediante apuração objetiva por intermédio da verificação de elementos concretos (art. 10-A, n° 1).           </w:t>
      </w:r>
    </w:p>
    <w:p w14:paraId="268F4566" w14:textId="77777777" w:rsidR="00691663" w:rsidRDefault="00691663" w:rsidP="00691663">
      <w:pPr>
        <w:pStyle w:val="corpo"/>
      </w:pPr>
      <w:r>
        <w:t>Assim, a comprovação do vínculo socioafetivo poderá ser demonstrada por todos os meios em direito admitidos, bem como por documentos, tais como: apontamento escolar como responsável ou representante do aluno; inscrição do pretenso filho em plano de saúde ou em órgão de previdência; registro oficial de que residem na mesma unidade domiciliar; vínculo de conjugalidade – casamento ou união estável – com o ascendente biológico; inscrição como dependente do requerente em entidades associativas; fotografias em celebrações relevantes; declaração de testemunhas com firma reconhecida (art. 10-A, n° 2). Trata-se de um rol meramente exemplificativo, em que o provimento apenas enumerou os documentos mais comuns para se comprovar a socioafetividade, mas que, no entanto, pode ser provada por outros meios de prova admitidos em direito.</w:t>
      </w:r>
    </w:p>
    <w:p w14:paraId="61662D73" w14:textId="77777777" w:rsidR="00691663" w:rsidRDefault="00691663" w:rsidP="00691663">
      <w:pPr>
        <w:pStyle w:val="corpo"/>
      </w:pPr>
      <w:r>
        <w:t>No entanto, na falta desses documentos ou de outros que demonstrem o vínculo socioafetivo, o provimento autoriza, ainda assim, o procedimento, desde que o registrador ateste como apurou tal vínculo (art. 10-A, n° 3). A mudança legislativa valorizou e aprofundou a atuação do oficial registrador, que, após a colheita das provas poderá dar seu parecer acerca da existência ou não do vínculo socioafetivo.</w:t>
      </w:r>
    </w:p>
    <w:p w14:paraId="27EA74FD" w14:textId="77777777" w:rsidR="00691663" w:rsidRDefault="00691663" w:rsidP="00840D80">
      <w:pPr>
        <w:pStyle w:val="corpo"/>
        <w:tabs>
          <w:tab w:val="clear" w:pos="4252"/>
          <w:tab w:val="clear" w:pos="8504"/>
        </w:tabs>
      </w:pPr>
      <w:r>
        <w:t xml:space="preserve">Outra significativa mudança no procedimento foi a exigência de se encaminhar o expediente ao representante do ministério público para parecer, nos casos em que o filho a ser reconhecido for menor de idade. Assim, o registro da paternidade socioafetiva só poderá ser realizado pelo registrador após o parecer favorável do ministério público (art. 11, § 9, I). </w:t>
      </w:r>
    </w:p>
    <w:p w14:paraId="6896CA13" w14:textId="33A0711F" w:rsidR="00691663" w:rsidRDefault="00691663" w:rsidP="00691663">
      <w:pPr>
        <w:pStyle w:val="corpo"/>
      </w:pPr>
      <w:r>
        <w:t xml:space="preserve">De outro modo, nos casos de filhos maiores é inexigível o parecer do ministério público, nos termos da justificativa do Provimento n° 83/2019, em que preceitua a plena aplicação do reconhecimento extrajudicial da parentalidade de caráter socioafetivo para aqueles que possuem dezoito anos ou mais. </w:t>
      </w:r>
    </w:p>
    <w:p w14:paraId="7BD335A2" w14:textId="6F678079" w:rsidR="00691663" w:rsidRDefault="00691663" w:rsidP="00691663">
      <w:pPr>
        <w:pStyle w:val="corpo"/>
      </w:pPr>
      <w:r>
        <w:t>Verifica-se, então, uma forma diferenciada em se tratar os reconhecimentos de maiores e menores, sendo que estes, em razão do Princípio da proteção integral à criança e ao adolescente (art. 227, CF), necessitam de um cuidado maior, que</w:t>
      </w:r>
      <w:r w:rsidR="002C3352">
        <w:t xml:space="preserve"> culminam em</w:t>
      </w:r>
      <w:r>
        <w:t xml:space="preserve"> maiores </w:t>
      </w:r>
      <w:r w:rsidR="002C3352">
        <w:t xml:space="preserve">exigências </w:t>
      </w:r>
      <w:r>
        <w:t>para a sua realização em Cartório. Em contrapartida, nas situações de reconhecimento de maior é necessário apenas a manifestação de vontade, livre e inequívoca das partes, que devem ser plenamente capazes e concordarem com o ato de reconhecimento socioafetivo em todos os seus termos. Nesses casos exige-se a análise dos documentos e manifestações de vontades pelo oficial registrador, para que ao final, ele possa deferir ou não o procedimento.</w:t>
      </w:r>
    </w:p>
    <w:p w14:paraId="70BD75EB" w14:textId="77777777" w:rsidR="00691663" w:rsidRDefault="00691663" w:rsidP="00691663">
      <w:pPr>
        <w:pStyle w:val="corpo"/>
      </w:pPr>
      <w:r>
        <w:t>Nas hipóteses em que o filho for menor de 18 anos, o reconhecimento da paternidade exigirá o seu consentimento (art. 11, § 4). Ademais, eventual dúvida referente ao registro deverá ser remetida ao juízo competente para dirimi-la (art. Art. 11, § 9, III). Assim, os casos que percorrerão somente a via administrativa são aqueles em que o reconhecido é maior de idade, bem como o registrador verificou preencherem todos os requisitos legais, e as manifestações de vontade dos interessados são livres e inequívocas no intuito de concluírem o reconhecimento socioafetivo de filho.</w:t>
      </w:r>
    </w:p>
    <w:p w14:paraId="2F61B222" w14:textId="77777777" w:rsidR="00691663" w:rsidRDefault="00691663" w:rsidP="00691663">
      <w:pPr>
        <w:pStyle w:val="corpo"/>
      </w:pPr>
      <w:r>
        <w:t>Por fim, há a possibilidade de inclusão de apenas um ascendente socioafetivo, seja do lado paterno ou do materno, na via extrajudicial (art. 14, § 1). Tal reconhecimento fica limitado a apenas um pai ou mãe que tenha a posse de estado de filho. Entretanto, caso as partes tenham interesse na inclusão de mais de um ascendente socioafetivo, este deverá tramitar pela via judicial (art. 14, § 2). Nesse caso será necessário ingressar com ação especifica de reconhecimento perante o Poder Judiciário.</w:t>
      </w:r>
    </w:p>
    <w:p w14:paraId="51FB7C45" w14:textId="77777777" w:rsidR="00691663" w:rsidRDefault="00691663" w:rsidP="00691663">
      <w:pPr>
        <w:pStyle w:val="corpo"/>
      </w:pPr>
      <w:r>
        <w:t>Assim, o novo Provimento n° 83/2019, CNJ aperfeiçoa o Provimento n° 63/2017, do CNJ que já tinha como marco o movimento da desjudicialização, bem como a priorização de todos os Princípios do Direito de Família, que protegem a entidade familiar, e não olvidando do Princípio do melhor interesse da criança e adolescente.</w:t>
      </w:r>
    </w:p>
    <w:p w14:paraId="37DB4C91" w14:textId="77777777" w:rsidR="00451DBC" w:rsidRDefault="00451DBC" w:rsidP="00451DBC"/>
    <w:p w14:paraId="731526EC" w14:textId="77777777" w:rsidR="00451DBC" w:rsidRDefault="0007653D" w:rsidP="00451DBC">
      <w:pPr>
        <w:pStyle w:val="Ttulo3"/>
        <w:rPr>
          <w:b/>
          <w:bCs/>
        </w:rPr>
      </w:pPr>
      <w:bookmarkStart w:id="73" w:name="_Toc28034666"/>
      <w:r>
        <w:rPr>
          <w:b/>
          <w:bCs/>
        </w:rPr>
        <w:t>Em Portugal</w:t>
      </w:r>
      <w:bookmarkEnd w:id="73"/>
    </w:p>
    <w:p w14:paraId="0D831A2F" w14:textId="77777777" w:rsidR="00C97A04" w:rsidRDefault="00C97A04" w:rsidP="00C97A04"/>
    <w:p w14:paraId="799026A8" w14:textId="77777777" w:rsidR="00C97A04" w:rsidRDefault="00C97A04" w:rsidP="00C97A04">
      <w:pPr>
        <w:pStyle w:val="corpo"/>
      </w:pPr>
      <w:r>
        <w:t>As linhas antecedentes demonstram que Portugal é considerado um país em que vigora o sistema biologista, em que a filiação, em regra, resulta do fator biológico. Assim, o pai e a mãe jurídicos são o pai e a mãe biológicos. Corrobora com esse entendimento as lições de Susana Almeida</w:t>
      </w:r>
      <w:r>
        <w:rPr>
          <w:rStyle w:val="Refdenotaderodap"/>
          <w:szCs w:val="24"/>
        </w:rPr>
        <w:footnoteReference w:id="113"/>
      </w:r>
      <w:r>
        <w:t xml:space="preserve"> ao mencionar que o Direito de Família Português tem uma matriz essencialmente “biologista”, na medida em que o critério biológico é o fator primordial de determinação dos vínculos familiares. Nesses termos, o direito de filiação português estabelece-se em torno do princípio da coincidência entre a verdade biológica e o vínculo de filiação. </w:t>
      </w:r>
    </w:p>
    <w:p w14:paraId="2A27F3F8" w14:textId="6E64498E" w:rsidR="00C97A04" w:rsidRDefault="00C97A04" w:rsidP="00C97A04">
      <w:pPr>
        <w:pStyle w:val="corpo"/>
      </w:pPr>
      <w:r>
        <w:t xml:space="preserve">De forma diversa ocorre no Brasil em que o parentesco foi conceituado de forma mais ampla: ele pode ser natural ou civil, conforme resulte de consanguinidade ou outra origem, respectivamente (artigo 1.593 do Código Civil brasileiro). </w:t>
      </w:r>
      <w:r w:rsidR="00746EE2">
        <w:t>Q</w:t>
      </w:r>
      <w:r>
        <w:t>uando</w:t>
      </w:r>
      <w:r w:rsidR="00746EE2">
        <w:t xml:space="preserve"> </w:t>
      </w:r>
      <w:r>
        <w:t xml:space="preserve">a legislação brasileira inovou ao estabelecer o parentesco civil (que resulta de outra origem que não a consanguinidade) possibilitou o surgimento de novas formas de família, principalmente aquelas baseadas apenas nos laços de afeto.  </w:t>
      </w:r>
    </w:p>
    <w:p w14:paraId="59C72B29" w14:textId="311B9D35" w:rsidR="00C97A04" w:rsidRDefault="00746EE2" w:rsidP="00C97A04">
      <w:pPr>
        <w:pStyle w:val="corpo"/>
      </w:pPr>
      <w:r>
        <w:t>E</w:t>
      </w:r>
      <w:r w:rsidR="00C97A04">
        <w:t>m face desse regime de estabelecimento da paternidade em Portugal, a filiação jurídica deve corresponder à filiação biológica, ou seja, o vínculo jurídico deve ter por base o vínculo natural. No entanto, Portugal passa por mudanças socioculturais que também alteram as formas de família admitidas por lei. Atualmente, abre-se espaço às famílias que não se baseiam estritamente nos laços de sangue. Verifica-se que o critério socioafetivo aparece para competir com o critério sanguíneo, na formação familiar e, nesses termos, a tutela da afetividade passa a figurar implícita ou explicitamente na lei portuguesa.</w:t>
      </w:r>
    </w:p>
    <w:p w14:paraId="48CFBB54" w14:textId="77777777" w:rsidR="00C97A04" w:rsidRDefault="00C97A04" w:rsidP="00C97A04">
      <w:pPr>
        <w:pStyle w:val="corpo"/>
      </w:pPr>
      <w:r>
        <w:t>Um exemplo da aceitação do critério da afetividade na formação familiar dentro do Direito Português é o caso da adoção plena. Esta demonstra um vínculo familiar exclusivamente fundado no critério socioafetivo, independente dos laços de sangue, conforme o estabelecido nos artigos 1973° e seguintes do Código Civil. Os autores Pereira Coelho e Guilherme Oliveira</w:t>
      </w:r>
      <w:r>
        <w:rPr>
          <w:rStyle w:val="Refdenotaderodap"/>
          <w:szCs w:val="24"/>
        </w:rPr>
        <w:footnoteReference w:id="114"/>
      </w:r>
      <w:r>
        <w:t xml:space="preserve"> nos ensinam que “por oposição ao parentesco natural, que é o verdadeiro parentesco, a adopção é assim um parentesco legal, criado à semelhança daquele”. Acrescentam ainda que a adopção não constitui uma ficção da lei, mas sim que “assenta em outra verdade, uma verdade </w:t>
      </w:r>
      <w:proofErr w:type="spellStart"/>
      <w:r>
        <w:t>afectiva</w:t>
      </w:r>
      <w:proofErr w:type="spellEnd"/>
      <w:r>
        <w:t xml:space="preserve"> e sociológica, distinta da verdade biológica em que se funda o parentesco”. </w:t>
      </w:r>
    </w:p>
    <w:p w14:paraId="645273E2" w14:textId="77777777" w:rsidR="00C97A04" w:rsidRDefault="00C97A04" w:rsidP="00C97A04">
      <w:pPr>
        <w:pStyle w:val="corpo"/>
      </w:pPr>
      <w:r>
        <w:t xml:space="preserve">Nos termos do artigo 1974°, n° 1, do Código Civil, a adopção visa realizar o superior interesse da criança e “consiste, não na sua identidade biológica ou genética, mas na verdade sociológica ou </w:t>
      </w:r>
      <w:proofErr w:type="spellStart"/>
      <w:r>
        <w:t>afectiva</w:t>
      </w:r>
      <w:proofErr w:type="spellEnd"/>
      <w:r>
        <w:t xml:space="preserve"> por ela vivida”</w:t>
      </w:r>
      <w:r>
        <w:rPr>
          <w:rStyle w:val="Refdenotaderodap"/>
          <w:szCs w:val="24"/>
        </w:rPr>
        <w:footnoteReference w:id="115"/>
      </w:r>
      <w:r>
        <w:t xml:space="preserve">. Ademais, conforme o artigo 1978°, n° 1, alínea e, do Código Civil, o tribunal pode confiar o menor, com vista a futura adoção, se os pais biológicos tiverem revelado manifesto desinteresse pelo menor acolhido por instituição ou particular, em termos de comprometer seriamente a qualidade e a continuidade dos vínculos </w:t>
      </w:r>
      <w:proofErr w:type="spellStart"/>
      <w:r>
        <w:t>afectivos</w:t>
      </w:r>
      <w:proofErr w:type="spellEnd"/>
      <w:r>
        <w:t xml:space="preserve">, durante, pelo menos, os três meses que precederam o pedido de confiança. </w:t>
      </w:r>
    </w:p>
    <w:p w14:paraId="4A34944B" w14:textId="77777777" w:rsidR="00C97A04" w:rsidRDefault="00C97A04" w:rsidP="00C97A04">
      <w:pPr>
        <w:pStyle w:val="corpo"/>
      </w:pPr>
      <w:r>
        <w:t xml:space="preserve">Assim, caso os pais biológicos não demonstrem a qualidade e a continuidade dos vínculos </w:t>
      </w:r>
      <w:proofErr w:type="spellStart"/>
      <w:r>
        <w:t>afectivos</w:t>
      </w:r>
      <w:proofErr w:type="spellEnd"/>
      <w:r>
        <w:t xml:space="preserve"> entre eles e os filhos acolhidos, rompem-se os laços de filiação biológicos existentes, possibilitando, em razão do superior interesse da criança, a criação de um novo vínculo de filiação adotiva baseada no afeto.   </w:t>
      </w:r>
    </w:p>
    <w:p w14:paraId="5E29F05D" w14:textId="77777777" w:rsidR="00C97A04" w:rsidRDefault="00C97A04" w:rsidP="00C97A04">
      <w:pPr>
        <w:pStyle w:val="corpo"/>
      </w:pPr>
      <w:r>
        <w:t xml:space="preserve">Outro exemplo em que o afeto aparece como critério de formação de vínculo familiar é a tutela. Nos termos do artigo 1931°, n° 1, CC, compete ao tribunal de menores “nomear o tutor de entre os parentes ou afins do menor ou de entre as pessoas que de facto tenham cuidado ou estejam a cuidar do menor ou tenham por ele demonstrado afeição”.  </w:t>
      </w:r>
    </w:p>
    <w:p w14:paraId="09F707F0" w14:textId="77777777" w:rsidR="00C97A04" w:rsidRDefault="00C97A04" w:rsidP="00C97A04">
      <w:pPr>
        <w:pStyle w:val="corpo"/>
        <w:rPr>
          <w:szCs w:val="24"/>
        </w:rPr>
      </w:pPr>
      <w:r>
        <w:rPr>
          <w:szCs w:val="24"/>
        </w:rPr>
        <w:t xml:space="preserve">A seguir, na mesma linha, há os casos das uniões de fato. Este é um caso em que há o laço conjugal não matrimonial assentado exclusivamente no afeto, e que passou a ter a tutela jurídica no ordenamento português. A proteção jurídica dessas uniões de fato está estabelecida na Lei n° 7/2001, que foi alterada pela Lei n° 23/2010.  </w:t>
      </w:r>
    </w:p>
    <w:p w14:paraId="64F84818" w14:textId="77777777" w:rsidR="00C97A04" w:rsidRDefault="00C97A04" w:rsidP="00C97A04">
      <w:pPr>
        <w:pStyle w:val="corpo"/>
        <w:rPr>
          <w:szCs w:val="24"/>
        </w:rPr>
      </w:pPr>
      <w:r>
        <w:rPr>
          <w:szCs w:val="24"/>
        </w:rPr>
        <w:t xml:space="preserve">Outro sinal da crescente relevância do vínculo socioafetivo em Portugal é a situação da presunção de paternidade no âmbito da investigação de paternidade, naqueles casos em que há a posse de estado de filho. Nesses termos, o artigo 1871°, n° 1, alínea a, CC presume a paternidade quando o filho houver sido reputado e tratado como tal pelo pretenso pai e reputado como filho também pelo público. Ou seja, a paternidade é presumida quando o vínculo que une o filho e o pretenso pai é um vínculo social e afetivo. Assim, a posse de estado de filho tem como função presumir o vínculo entre pai e filho nas ações de investigação de filiação, nos termos dos artigos 1816° e 1871°, do Código Civil português. </w:t>
      </w:r>
    </w:p>
    <w:p w14:paraId="23F2AC9E" w14:textId="77777777" w:rsidR="00C97A04" w:rsidRDefault="00C97A04" w:rsidP="00C97A04">
      <w:pPr>
        <w:pStyle w:val="corpo"/>
        <w:rPr>
          <w:szCs w:val="24"/>
        </w:rPr>
      </w:pPr>
      <w:r>
        <w:rPr>
          <w:szCs w:val="24"/>
        </w:rPr>
        <w:t>Mais adiante, especificamente em relação à paternidade e maternidade socioafetivas, em Portugal surgiram institutos semelhantes, que são os obtidos através da atribuição das responsabilidades parentais. Estes são efetivados pelos institutos da confiança a terceira pessoa (artigo 1907</w:t>
      </w:r>
      <w:r>
        <w:t xml:space="preserve">° do CC), apadrinhamento civil (Lei n° 103/09), e a confiança em vista de adoção. São institutos semelhantes à paternidade e maternidade socioafetiva, pois o vínculo que une a criança aos responsáveis nomeados judicialmente é o afeto. Ademais, a esses responsáveis é conferida certas responsabilidades exigidas apenas dos pais da criança. </w:t>
      </w:r>
      <w:r>
        <w:rPr>
          <w:szCs w:val="24"/>
        </w:rPr>
        <w:t xml:space="preserve"> </w:t>
      </w:r>
    </w:p>
    <w:p w14:paraId="2FD4F274" w14:textId="77777777" w:rsidR="00C97A04" w:rsidRDefault="00C97A04" w:rsidP="00C97A04">
      <w:pPr>
        <w:pStyle w:val="corpo"/>
        <w:rPr>
          <w:szCs w:val="24"/>
        </w:rPr>
      </w:pPr>
      <w:r>
        <w:rPr>
          <w:szCs w:val="24"/>
        </w:rPr>
        <w:t xml:space="preserve">Dentre os institutos mencionados que se assemelham à paternidade socioafetiva temos o apadrinhamento civil que está previsto na Lei n° 103/2009, regulamentado pelo Decreto-lei n° 121/2010. O apadrinhamento civil, nos termos do artigo 2°, da Lei n° 103/2009, “é uma relação jurídica, tendencialmente de caráter permanente, entre uma criança ou jovem e uma pessoa singular ou uma família que exerça os poderes e deveres próprios dos pais e que com ele estabeleçam vínculos </w:t>
      </w:r>
      <w:proofErr w:type="spellStart"/>
      <w:r>
        <w:rPr>
          <w:szCs w:val="24"/>
        </w:rPr>
        <w:t>afectivos</w:t>
      </w:r>
      <w:proofErr w:type="spellEnd"/>
      <w:r>
        <w:rPr>
          <w:szCs w:val="24"/>
        </w:rPr>
        <w:t xml:space="preserve"> que permitam o seu bem-estar e desenvolvimento, constituída por homologação ou decisão judicial e sujeita a registo civil”.</w:t>
      </w:r>
    </w:p>
    <w:p w14:paraId="176629CE" w14:textId="77777777" w:rsidR="00C97A04" w:rsidRDefault="00C97A04" w:rsidP="00C97A04">
      <w:pPr>
        <w:pStyle w:val="corpo"/>
        <w:rPr>
          <w:szCs w:val="24"/>
        </w:rPr>
      </w:pPr>
      <w:r>
        <w:rPr>
          <w:szCs w:val="24"/>
        </w:rPr>
        <w:t xml:space="preserve">Os padrinhos exercem as responsabilidades parentais de forma plena, sem que assumam as qualidades de pais. Os pais biológicos continuam a ser juridicamente pais, embora o conjunto de direitos fixado a eles seja pequeno. Estes direitos são fixados no compromisso de apadrinhamento, nos termos do que prevê a lei e as circunstâncias do caso concreto. Verifica-se, então, uma repartição das responsabilidades entre pais e padrinhos, na medida em que eles “devem cooperar na criação das condições adequadas ao bem-estar e desenvolvimento do afilhado” (art. 9°, n° 2, da Lei n° 103/2009).   </w:t>
      </w:r>
    </w:p>
    <w:p w14:paraId="455E7943" w14:textId="77777777" w:rsidR="00C97A04" w:rsidRDefault="00C97A04" w:rsidP="00C97A04">
      <w:pPr>
        <w:pStyle w:val="corpo"/>
      </w:pPr>
      <w:r>
        <w:t>Em que pese a ausência de legislação em Portugal que autorize o estabelecimento de uma paternidade baseada no afeto, ou seja, socioafetiva, notam-se várias mutações socioculturais que demonstram a intenção de ampliar o critério de determinação da parentalidade, a fim de se incluir o critério do afeto, para que se possa fixar a paternidade entre pais e filhos que se vinculam apenas pelo laço do amor.</w:t>
      </w:r>
    </w:p>
    <w:p w14:paraId="545EC65F" w14:textId="77777777" w:rsidR="00C97A04" w:rsidRDefault="00C97A04" w:rsidP="00C97A04">
      <w:pPr>
        <w:pStyle w:val="corpo"/>
      </w:pPr>
      <w:r>
        <w:t xml:space="preserve">Ademais, a doutrina portuguesa também se posiciona a favor de uma legislação que possa amparar tanto a paternidade quanto a </w:t>
      </w:r>
      <w:proofErr w:type="gramStart"/>
      <w:r>
        <w:t>maternidade socioafetivas</w:t>
      </w:r>
      <w:proofErr w:type="gramEnd"/>
      <w:r>
        <w:t>, nos seguintes termos:</w:t>
      </w:r>
    </w:p>
    <w:p w14:paraId="52ED0BD8" w14:textId="77777777" w:rsidR="00C97A04" w:rsidRDefault="00C97A04" w:rsidP="00C97A04">
      <w:pPr>
        <w:rPr>
          <w:rFonts w:cs="Times New Roman"/>
        </w:rPr>
      </w:pPr>
    </w:p>
    <w:p w14:paraId="6AEC356F" w14:textId="64F8B7F8" w:rsidR="00C97A04" w:rsidRDefault="00C97A04" w:rsidP="00C97A04">
      <w:pPr>
        <w:pStyle w:val="SemEspaamento"/>
      </w:pPr>
      <w:r>
        <w:t xml:space="preserve">Na verdade, concordamos sem reservas que a relação de filiação não decorre apenas de uma transmissão de material genético e que antes brota do convívio social e </w:t>
      </w:r>
      <w:proofErr w:type="spellStart"/>
      <w:r>
        <w:t>afectivo</w:t>
      </w:r>
      <w:proofErr w:type="spellEnd"/>
      <w:r>
        <w:t xml:space="preserve"> entre pai/mãe e filho, pelo que entendemos que a parentalidade </w:t>
      </w:r>
      <w:proofErr w:type="spellStart"/>
      <w:r>
        <w:t>sócio-afectiva</w:t>
      </w:r>
      <w:proofErr w:type="spellEnd"/>
      <w:r>
        <w:t xml:space="preserve"> merecerá indubitavelmente tutela no nosso ordenamento jurídico. Mas daí até afirmar a tripartição do estabelecimento da filiação através do critério biológico (verdade de sangue), do critério jurídico fundado na presunção legal, ou do critério </w:t>
      </w:r>
      <w:proofErr w:type="spellStart"/>
      <w:r>
        <w:t>afectivo</w:t>
      </w:r>
      <w:proofErr w:type="spellEnd"/>
      <w:r>
        <w:t xml:space="preserve"> (verdade do coração), dar prevalência ao critério </w:t>
      </w:r>
      <w:proofErr w:type="spellStart"/>
      <w:r>
        <w:t>sócio-afectivo</w:t>
      </w:r>
      <w:proofErr w:type="spellEnd"/>
      <w:r>
        <w:t xml:space="preserve"> e proclamar a ‘desbiologização da paternidade’ será talvez excessivo no contexto do ordenamento jurídico luso</w:t>
      </w:r>
      <w:r>
        <w:rPr>
          <w:rStyle w:val="Refdenotaderodap"/>
        </w:rPr>
        <w:footnoteReference w:id="116"/>
      </w:r>
      <w:r>
        <w:t>.</w:t>
      </w:r>
    </w:p>
    <w:p w14:paraId="02CAC69C" w14:textId="77777777" w:rsidR="00C97A04" w:rsidRDefault="00C97A04" w:rsidP="00C97A04">
      <w:pPr>
        <w:rPr>
          <w:rFonts w:cs="Times New Roman"/>
        </w:rPr>
      </w:pPr>
    </w:p>
    <w:p w14:paraId="3831F5B6" w14:textId="77777777" w:rsidR="00C97A04" w:rsidRDefault="00C97A04" w:rsidP="00C97A04">
      <w:pPr>
        <w:pStyle w:val="corpo"/>
      </w:pPr>
      <w:r>
        <w:t>No que tange à jurisprudência portuguesa, não obstante o critério biológico ainda seja o preponderante para a fixação da parentalidade, vislumbra-se uma mudança de paradigma, em que a socioafetividade é vista como um critério possível de determinação das relações familiares, em função da relevância da segurança e da estabilidade das famílias.</w:t>
      </w:r>
    </w:p>
    <w:p w14:paraId="6FAC12F2" w14:textId="77777777" w:rsidR="00C97A04" w:rsidRDefault="00C97A04" w:rsidP="00C97A04">
      <w:pPr>
        <w:pStyle w:val="corpo"/>
      </w:pPr>
      <w:r>
        <w:t xml:space="preserve">Outra manifestação da mudança de paradigma em Portugal consiste na Petição n° 451/XIII/3ª, em que solicita a edição de uma lei sobre a parentalidade socioafetiva perante a Assembleia da República Portuguesa, que analisaremos a seguir.  </w:t>
      </w:r>
    </w:p>
    <w:p w14:paraId="375FB7DD" w14:textId="77777777" w:rsidR="00C97A04" w:rsidRDefault="00C97A04" w:rsidP="00C97A04"/>
    <w:p w14:paraId="6E1D6D21" w14:textId="77777777" w:rsidR="00E95BBF" w:rsidRDefault="00220E8A" w:rsidP="00220E8A">
      <w:pPr>
        <w:pStyle w:val="Ttulo3"/>
        <w:numPr>
          <w:ilvl w:val="0"/>
          <w:numId w:val="0"/>
        </w:numPr>
        <w:rPr>
          <w:b/>
          <w:bCs/>
        </w:rPr>
      </w:pPr>
      <w:bookmarkStart w:id="74" w:name="_Toc28034667"/>
      <w:r>
        <w:rPr>
          <w:b/>
          <w:bCs/>
        </w:rPr>
        <w:t>3.3.2.1 Petição n° 451/XIII/3ª</w:t>
      </w:r>
      <w:bookmarkEnd w:id="74"/>
    </w:p>
    <w:p w14:paraId="79F06EA4" w14:textId="77777777" w:rsidR="00220E8A" w:rsidRDefault="00220E8A" w:rsidP="00220E8A"/>
    <w:p w14:paraId="17D179E6" w14:textId="77777777" w:rsidR="00220E8A" w:rsidRDefault="00220E8A" w:rsidP="00220E8A">
      <w:pPr>
        <w:pStyle w:val="corpo"/>
      </w:pPr>
      <w:r>
        <w:t>A Petição n° 451/XIII/3ª</w:t>
      </w:r>
      <w:r>
        <w:rPr>
          <w:rStyle w:val="Refdenotaderodap"/>
        </w:rPr>
        <w:footnoteReference w:id="117"/>
      </w:r>
      <w:r>
        <w:t xml:space="preserve"> ingressou na Assembleia da República Portuguesa aos 17 de janeiro de 2018, estando endereçada ao Presidente da Assembleia da República, e comparecendo como peticionante a Senhora Silvia Moreira Ferreira da Silva Alves. </w:t>
      </w:r>
    </w:p>
    <w:p w14:paraId="5A3E2AD2" w14:textId="3CEA7BAB" w:rsidR="00220E8A" w:rsidRDefault="00220E8A" w:rsidP="00220E8A">
      <w:pPr>
        <w:pStyle w:val="corpo"/>
      </w:pPr>
      <w:r>
        <w:t xml:space="preserve">A petição tem por objeto a parentalidade socioafetiva, e visa lutar pela </w:t>
      </w:r>
      <w:r w:rsidR="001E7759">
        <w:t xml:space="preserve">edição de uma lei que ingresse </w:t>
      </w:r>
      <w:r>
        <w:t xml:space="preserve">no Ordenamento Jurídico Português. Há a finalidade do reconhecimento legal da parentalidade socioafetiva, enquanto uma situação de fato, em que não existe o vínculo biológico que une os pais a seus filhos, mas que é merecedora da mesma tutela jurídica conferida aos outros </w:t>
      </w:r>
      <w:r w:rsidR="00406CFB">
        <w:t xml:space="preserve">tipos </w:t>
      </w:r>
      <w:r>
        <w:t>de filiação</w:t>
      </w:r>
      <w:r w:rsidR="00406CFB">
        <w:t>.</w:t>
      </w:r>
    </w:p>
    <w:p w14:paraId="1DFD91F5" w14:textId="77777777" w:rsidR="00220E8A" w:rsidRDefault="00220E8A" w:rsidP="00220E8A">
      <w:pPr>
        <w:pStyle w:val="corpo"/>
      </w:pPr>
      <w:r>
        <w:t>Fundamenta-se o pedido alegando que a parentalidade não deve decorrer exclusivamente do fator biológico, na medida em que o direito de família se modernizou e sofreu mudanças na forma de sua constituição. O núcleo familiar, hoje, pode ser estruturado em torno de relações de afeto e solidariedade, o que constrói outras formas de família, que também demandam a proteção do Estado.</w:t>
      </w:r>
    </w:p>
    <w:p w14:paraId="23D52B6A" w14:textId="77777777" w:rsidR="00220E8A" w:rsidRDefault="00220E8A" w:rsidP="00220E8A">
      <w:pPr>
        <w:pStyle w:val="corpo"/>
      </w:pPr>
      <w:r>
        <w:t xml:space="preserve">A peticionante, ao defender a edição de uma lei que estabeleça e proteja a parentalidade socioafetiva, alega em sua petição que: </w:t>
      </w:r>
    </w:p>
    <w:p w14:paraId="43EF38F4" w14:textId="77777777" w:rsidR="00220E8A" w:rsidRDefault="00220E8A" w:rsidP="00220E8A"/>
    <w:p w14:paraId="4B68D25D" w14:textId="0EA32D68" w:rsidR="00220E8A" w:rsidRDefault="00220E8A" w:rsidP="00220E8A">
      <w:pPr>
        <w:pStyle w:val="SemEspaamento"/>
      </w:pPr>
      <w:r>
        <w:t>Paternidade, maternidade e filiação não devem decorrer exclusivamente de informações genéticas e biológicas. A visão moderna do direito de família é a da existência de um núcleo familiar unido por relações de afeto, solidariedade e amor, visando a realização da dignidade da pessoa humana através de outras formas de família que igualmente merecem a proteção do Estado. O nosso ordenamento jurídico ainda não reconheceu a parentalidade socioafetiva, no entanto, esta forma de estabelecimento de uma relação de parentesco, deve, salvo melhor e douto entendimento, passar a estar legislada e ter acolhimento no Estado de Direito em que vivemos, pois deve ser dada primazia ao vínculo afetivo e aos cuidados de quem age como se pai ou mãe fossem, e, vai-se mais longe, independentemente da opção sexual dos envolvidos</w:t>
      </w:r>
      <w:r>
        <w:rPr>
          <w:rStyle w:val="Refdenotaderodap"/>
        </w:rPr>
        <w:footnoteReference w:id="118"/>
      </w:r>
      <w:r>
        <w:t>.</w:t>
      </w:r>
    </w:p>
    <w:p w14:paraId="0F5B1EF1" w14:textId="77777777" w:rsidR="00220E8A" w:rsidRDefault="00220E8A" w:rsidP="00220E8A">
      <w:r>
        <w:t xml:space="preserve">  </w:t>
      </w:r>
    </w:p>
    <w:p w14:paraId="35BEBF45" w14:textId="77777777" w:rsidR="00220E8A" w:rsidRDefault="00220E8A" w:rsidP="00220E8A">
      <w:pPr>
        <w:pStyle w:val="corpo"/>
      </w:pPr>
      <w:r>
        <w:t>Mais adiante a petição n° 451/XIII/3ª deixa claro que o fundamento ao pedido de legislação sobre a parentalidade socioafetiva assenta-se na “tutela dos direitos de personalidade, que salvaguardam a filiação como elemento fundamental na formação da identidade do ser humano”. Além disso, relata-se a importância de uma legislação específica, em razão da mudança de paradigma que sofre o direito de família, em que o núcleo familiar passou a ser visto como um grupo de companheirismo, fundado essencialmente nos laços de solidariedade e de afeto. A família deixou de ser um núcleo econômico e de reprodução para se tornar um espaço reservado ao desenvolvimento do companheirismo, do amor e do diálogo.</w:t>
      </w:r>
    </w:p>
    <w:p w14:paraId="71BC8AFC" w14:textId="77777777" w:rsidR="00220E8A" w:rsidRDefault="00220E8A" w:rsidP="00220E8A">
      <w:pPr>
        <w:pStyle w:val="corpo"/>
      </w:pPr>
      <w:r>
        <w:t xml:space="preserve">O fato de ser pai ou mãe deve estar relacionado àqueles que dão afeto, quem assegura a proteção e garante a sobrevivência aos filhos. A socioafetividade se edifica no relacionamento diário, que está baseada no afeto e na dedicação dos pais com o desenvolvimento dos filhos. </w:t>
      </w:r>
    </w:p>
    <w:p w14:paraId="692CEC57" w14:textId="6E75C2FB" w:rsidR="00220E8A" w:rsidRDefault="00220E8A" w:rsidP="00220E8A">
      <w:pPr>
        <w:pStyle w:val="corpo"/>
      </w:pPr>
      <w:r>
        <w:t xml:space="preserve">Nesses termos, a referida petição conclui que o reconhecimento legal da parentalidade socioafetiva é devido, não por motivos estritamente patrimoniais, </w:t>
      </w:r>
      <w:r w:rsidR="00FE4E1D">
        <w:t>mas, pela possibilidade da atrib</w:t>
      </w:r>
      <w:r>
        <w:t xml:space="preserve">uição de direitos ou benefícios. </w:t>
      </w:r>
      <w:r w:rsidR="00870500">
        <w:t xml:space="preserve">Deve-se priorizar também </w:t>
      </w:r>
      <w:r>
        <w:t xml:space="preserve">o interesse e desejo da pessoa reputada e tratada como filha pela mãe ou pai socioafetivos, e nas relações sociais, </w:t>
      </w:r>
      <w:r w:rsidR="00870500">
        <w:t xml:space="preserve">em </w:t>
      </w:r>
      <w:r>
        <w:t>ser reconhecida como filha.</w:t>
      </w:r>
    </w:p>
    <w:p w14:paraId="7B73BD1D" w14:textId="77777777" w:rsidR="00220E8A" w:rsidRDefault="00220E8A" w:rsidP="00220E8A">
      <w:pPr>
        <w:pStyle w:val="corpo"/>
      </w:pPr>
      <w:r>
        <w:t xml:space="preserve">Assim, a petição n° 451/XIII/3ª finaliza requerendo, em nome de valores que merecem diferente tutela, o reconhecimento pelo Ordenamento Jurídico Português do direito à parentalidade socioafetiva, assim como a regulamentação do exercício de direitos e deveres dos pais e filhos socioafetivos. E, desde que comprovada a relação socioafetiva, devem ser atribuídos benefícios, em vida ou por morte do pai ou da mãe socioafetivos.      </w:t>
      </w:r>
    </w:p>
    <w:p w14:paraId="222AF6E0" w14:textId="0342303A" w:rsidR="00220E8A" w:rsidRDefault="00220E8A" w:rsidP="00220E8A">
      <w:pPr>
        <w:pStyle w:val="corpo"/>
      </w:pPr>
      <w:r>
        <w:t>Ato contínuo, aos 29 de janeiro de 2019, por despacho do Vice-Presidente da Assembleia, Deputado Jorge Lacão, a petição foi encaminhada à Comissão de Assuntos Constitucionais, Direitos, Liberdades e Garantias para apreciação e deliberação sobre a sua admissão ou não. Assim, a petição foi admitida liminarmente pela mencionada Comissão, que então, emitiu uma Nota de Admissibilidade publicada aos 7 de fevereiro de 2018.</w:t>
      </w:r>
    </w:p>
    <w:p w14:paraId="654DB43B" w14:textId="1C3ECD5A" w:rsidR="00220E8A" w:rsidRDefault="00220E8A" w:rsidP="00220E8A">
      <w:pPr>
        <w:pStyle w:val="corpo"/>
      </w:pPr>
      <w:r>
        <w:t>A mencionada nota de admissibilidade</w:t>
      </w:r>
      <w:r>
        <w:rPr>
          <w:rStyle w:val="Refdenotaderodap"/>
        </w:rPr>
        <w:footnoteReference w:id="119"/>
      </w:r>
      <w:r>
        <w:t xml:space="preserve"> explana que a questão suscitada na petição n° 451/XIII/3ª não é nova em Portugal, sendo que nos últimos </w:t>
      </w:r>
      <w:r w:rsidR="003D56F7">
        <w:t>anos</w:t>
      </w:r>
      <w:r>
        <w:t xml:space="preserve"> o critério da socioafetividade vem ganhando força</w:t>
      </w:r>
      <w:r w:rsidR="003D56F7">
        <w:t>,</w:t>
      </w:r>
      <w:r>
        <w:t xml:space="preserve"> através de várias manifestações no direito português, em que se verifica o intuito de se substituir o critério biológico da parentalidade pelo critério sociológico. </w:t>
      </w:r>
    </w:p>
    <w:p w14:paraId="710838DC" w14:textId="77777777" w:rsidR="00220E8A" w:rsidRDefault="00220E8A" w:rsidP="00220E8A">
      <w:pPr>
        <w:pStyle w:val="corpo"/>
      </w:pPr>
      <w:r>
        <w:t>Segue-se a argumentação favorável à legislação da parentalidade socioafetiva, nos seguintes termos:</w:t>
      </w:r>
    </w:p>
    <w:p w14:paraId="637A52AB" w14:textId="77777777" w:rsidR="00220E8A" w:rsidRDefault="00220E8A" w:rsidP="00220E8A"/>
    <w:p w14:paraId="66C268F9" w14:textId="2EB8E49A" w:rsidR="00220E8A" w:rsidRDefault="00220E8A" w:rsidP="00220E8A">
      <w:pPr>
        <w:pStyle w:val="SemEspaamento"/>
      </w:pPr>
      <w:r>
        <w:t>É inegável, por exemplo, que em Portugal sempre se tolerou a ‘perfilhação de complacência’ (falsa paternidade biológica, socialmente reconhecida como verdadeira), apesar das amplas possibilidades de impugnação que a lei sempre previu; é generalizado o instituto da adoção (inclusivamente aos casais do mesmo sexo) e também se tornou comum estabelecer a paternidade do marido da mulher que recorreu a inseminação com dador (artigos 20° e 21° da Lei n° 32/2006). Na verdade, as hipóteses de constituição da paternidade com fundamento na vontade e na assunção das responsabilidades pelo cuidado são conhecidas há muito tempo no direito português. Depois disto, os progressos da medicina da reprodução, aliados ao reconhecimento das uniões de facto e dos casamentos entre pessoas do mesmo sexo, vieram ampliar a possibilidade de se vir a pretender uma parentalidade cada vez mais desligada do vínculo biológico, abrindo-se a porta, por exemplo, à dupla maternidade/paternidade e à multiparentalidade</w:t>
      </w:r>
      <w:r>
        <w:rPr>
          <w:rStyle w:val="Refdenotaderodap"/>
        </w:rPr>
        <w:footnoteReference w:id="120"/>
      </w:r>
      <w:r>
        <w:t xml:space="preserve">.  </w:t>
      </w:r>
    </w:p>
    <w:p w14:paraId="4B420627" w14:textId="77777777" w:rsidR="00220E8A" w:rsidRDefault="00220E8A" w:rsidP="00220E8A">
      <w:pPr>
        <w:rPr>
          <w:b w:val="0"/>
        </w:rPr>
      </w:pPr>
    </w:p>
    <w:p w14:paraId="3EF2DD03" w14:textId="77777777" w:rsidR="00220E8A" w:rsidRDefault="00220E8A" w:rsidP="00220E8A">
      <w:pPr>
        <w:pStyle w:val="corpo"/>
      </w:pPr>
      <w:r>
        <w:t xml:space="preserve">Mais adiante, a nota de admissibilidade pontua que o direito português, quanto ao estabelecimento da filiação, ainda segue a regra de que o interesse do filho é pertencer ao pai ou à mãe biológicos. Além disso, o Sistema Português não admite situações de multiparentalidade, ou seja, a inclusão de mais de um pai ou uma mãe no registro de nascimento da criança, nas situações de coexistência de uma parentalidade biológica e socioafetiva. </w:t>
      </w:r>
    </w:p>
    <w:p w14:paraId="06158393" w14:textId="5D67B070" w:rsidR="00220E8A" w:rsidRDefault="00220E8A" w:rsidP="00220E8A">
      <w:pPr>
        <w:pStyle w:val="corpo"/>
      </w:pPr>
      <w:r>
        <w:t>A nota de admissibilidade traz como exemplo de legislação estrangeira que acolheu os casos de parentalidade socioafetiva, a brasileira, em que o Código Civil dispõe no artigo 1.593 que “o parentesco é natural ou civil, conforme resulte de consanguinidade ou outra origem”. Esse dispositivo legal possibilitou que o vínculo parental pudesse advir não apenas de consanguinidade e da adoção, mas também da existência da afetividade entre um homem e uma criança, bem como do reconhecimento social dessa relação</w:t>
      </w:r>
      <w:r w:rsidR="003D56F7">
        <w:t>.</w:t>
      </w:r>
    </w:p>
    <w:p w14:paraId="02655CD2" w14:textId="77777777" w:rsidR="00220E8A" w:rsidRDefault="00220E8A" w:rsidP="00220E8A">
      <w:pPr>
        <w:pStyle w:val="corpo"/>
      </w:pPr>
      <w:r>
        <w:t xml:space="preserve">No Brasil, o parentesco socioafetivo tem os mesmos efeitos que o parentesco biológico ou o decorrente de adoção. Há os mesmos direitos e obrigações conferidos aos pais e aos filhos, independentemente do vínculo que os une, primordialmente em respeito ao Princípio da não discriminação entre os filhos. O direito de guarda, de visitas, dever de educação e dever de sustento ou obrigação alimentar, bem como os direitos sucessórios devem ser aplicados da mesma forma aos filhos biológicos e socioafetivos.      </w:t>
      </w:r>
    </w:p>
    <w:p w14:paraId="05A6A388" w14:textId="77777777" w:rsidR="00220E8A" w:rsidRDefault="00220E8A" w:rsidP="00220E8A">
      <w:pPr>
        <w:pStyle w:val="corpo"/>
      </w:pPr>
      <w:r>
        <w:t>Posteriormente, foi emitido um Relatório Final da Petição n° 451/XIII/3ª</w:t>
      </w:r>
      <w:r>
        <w:rPr>
          <w:rStyle w:val="Refdenotaderodap"/>
        </w:rPr>
        <w:footnoteReference w:id="121"/>
      </w:r>
      <w:r>
        <w:t xml:space="preserve">, aos 4 de abril de 2018, pela própria Comissão de Assuntos Constitucionais, Direitos, Liberdades e Garantias. Foi pontuado no referido relatório que deveria ser dado conhecimento da Petição n° 451/XIII/3ª e do próprio relatório aos Grupos Parlamentares para ponderação acerca da adequação e oportunidade de apresentação de iniciativa legislativa sobre a matéria.    </w:t>
      </w:r>
    </w:p>
    <w:p w14:paraId="64DC5792" w14:textId="77777777" w:rsidR="00220E8A" w:rsidRDefault="00220E8A" w:rsidP="00220E8A">
      <w:pPr>
        <w:pStyle w:val="corpo"/>
      </w:pPr>
      <w:r>
        <w:t xml:space="preserve">Ademais, foi mencionado no referido relatório que a peticionante Silvia Moreira Ferreira da Silva Alves solicita uma legislação acerca da parentalidade socioafetiva, como ocorre no Direito Brasileiro, em que é possível o estabelecimento da filiação por via do reconhecimento jurídico da parentalidade socioafetiva em detrimento da parentalidade biológica. </w:t>
      </w:r>
    </w:p>
    <w:p w14:paraId="74187197" w14:textId="07183D22" w:rsidR="00220E8A" w:rsidRDefault="00220E8A" w:rsidP="00220E8A">
      <w:pPr>
        <w:pStyle w:val="corpo"/>
      </w:pPr>
      <w:r>
        <w:t>No entanto, em Portugal, a vontade e assunção das responsabilidades pelo cuidado, por aquele que não tem vínculo biológico, tem sido assegurada através da atribuição das responsabilidades parentais</w:t>
      </w:r>
      <w:r w:rsidR="00BD2EDD">
        <w:t>:</w:t>
      </w:r>
      <w:r>
        <w:t xml:space="preserve"> a confiança a terceira pessoa (artigo 1907°, do Código Civil), </w:t>
      </w:r>
      <w:r w:rsidR="00BD2EDD">
        <w:t xml:space="preserve">a </w:t>
      </w:r>
      <w:r>
        <w:t xml:space="preserve">instauração da tutela (artigo 1921°, do Código Civil), </w:t>
      </w:r>
      <w:r w:rsidR="00BD2EDD">
        <w:t xml:space="preserve">o </w:t>
      </w:r>
      <w:r>
        <w:t xml:space="preserve">apadrinhamento civil (Lei n° 103/2009), </w:t>
      </w:r>
      <w:r w:rsidR="00BD2EDD">
        <w:t xml:space="preserve">e </w:t>
      </w:r>
      <w:r>
        <w:t>a confiança em vista à adoção. E estas opções são motivadas por certos princípios existentes no Direito Português como mencionado no Relatório Final:</w:t>
      </w:r>
    </w:p>
    <w:p w14:paraId="68CA9E8C" w14:textId="77777777" w:rsidR="00220E8A" w:rsidRDefault="00220E8A" w:rsidP="00220E8A">
      <w:pPr>
        <w:rPr>
          <w:rFonts w:cs="Times New Roman"/>
        </w:rPr>
      </w:pPr>
    </w:p>
    <w:p w14:paraId="403141E4" w14:textId="1464360B" w:rsidR="00220E8A" w:rsidRDefault="00220E8A" w:rsidP="00220E8A">
      <w:pPr>
        <w:pStyle w:val="SemEspaamento"/>
        <w:rPr>
          <w:bCs/>
          <w:szCs w:val="24"/>
        </w:rPr>
      </w:pPr>
      <w:r>
        <w:t>Esta opção justifica-se à luz dos princípios estruturantes do direito da filiação Português, o princípio da verdade biológica e o princípio da taxatividade dos meios de estabelecer a filiação, por força dos quais o ordenamento jurídico interno considera ser do ‘interesse superior da criança’ pertencer ao pai e à mãe biológicos, o que assegura quer através dos institutos da averiguação oficiosa da maternidade e paternidade, quer da impugnação da paternidade</w:t>
      </w:r>
      <w:r>
        <w:rPr>
          <w:rStyle w:val="Refdenotaderodap"/>
        </w:rPr>
        <w:footnoteReference w:id="122"/>
      </w:r>
      <w:r>
        <w:t xml:space="preserve">.  </w:t>
      </w:r>
      <w:r>
        <w:rPr>
          <w:bCs/>
          <w:szCs w:val="24"/>
        </w:rPr>
        <w:t xml:space="preserve"> </w:t>
      </w:r>
    </w:p>
    <w:p w14:paraId="3CB9AA49" w14:textId="77777777" w:rsidR="00220E8A" w:rsidRDefault="00220E8A" w:rsidP="00220E8A">
      <w:pPr>
        <w:rPr>
          <w:bCs/>
        </w:rPr>
      </w:pPr>
    </w:p>
    <w:p w14:paraId="39C67FEC" w14:textId="0A2D58B8" w:rsidR="00220E8A" w:rsidRDefault="00220E8A" w:rsidP="00220E8A">
      <w:pPr>
        <w:pStyle w:val="corpo"/>
      </w:pPr>
      <w:r>
        <w:t>Porém, os princípios mencionados acima têm sofrido derrogações em casos como da adoção plena, bem como do estabelecimento da paternidade do marido da mulher que se submeteu à inseminação com</w:t>
      </w:r>
      <w:r w:rsidR="00C172E2">
        <w:t xml:space="preserve"> o</w:t>
      </w:r>
      <w:r>
        <w:t xml:space="preserve"> dador, conforme os preceitos da Lei n° 32/2006, que foi posteriormente regulamentada pelo Decreto Regulamentador n° 5/2008.</w:t>
      </w:r>
    </w:p>
    <w:p w14:paraId="0F264C91" w14:textId="14DB6881" w:rsidR="00220E8A" w:rsidRDefault="00220E8A" w:rsidP="00220E8A">
      <w:pPr>
        <w:pStyle w:val="corpo"/>
      </w:pPr>
      <w:r>
        <w:t>Por fim, o Presidente da Comissão de Assuntos Constitucionais, Direitos, Liberdades e Garantias concluiu através do Relatório Final da Petição n° 451/XIII/3ª, que dev</w:t>
      </w:r>
      <w:r w:rsidR="00C172E2">
        <w:t>e</w:t>
      </w:r>
      <w:r>
        <w:t xml:space="preserve"> ser dado conhecimento da petição a todos os Grupos Parlamentares, para ponderação da adequação e oportunidade de medidas legislativas adicionais sobre a matéria, e que o mencionado relatório deve ser enviado ao Senhor Presidente da Assembleia da República, nos termos do n° 11 do artigo 17° da Lei de Exercício do Direito de Petição.</w:t>
      </w:r>
    </w:p>
    <w:p w14:paraId="4B540342" w14:textId="68AEF761" w:rsidR="00220E8A" w:rsidRPr="00592EA9" w:rsidRDefault="00C172E2" w:rsidP="00220E8A">
      <w:pPr>
        <w:pStyle w:val="corpo"/>
      </w:pPr>
      <w:r>
        <w:t>E</w:t>
      </w:r>
      <w:r w:rsidR="00220E8A">
        <w:t xml:space="preserve">m que pese a legislação portuguesa não ter qualquer dispositivo legal que disponha sobre a parentalidade socioafetiva, houve uma mudança sociocultural em Portugal que, então, iniciou uma luta pela mudança legislativa, em razão de antever os anseios sociais e, principalmente, das novas famílias que foram constituídas não com base nos vínculos de sangue, mas no valor afetivo que as une.  </w:t>
      </w:r>
    </w:p>
    <w:p w14:paraId="710DD7BC" w14:textId="77777777" w:rsidR="00220E8A" w:rsidRPr="00220E8A" w:rsidRDefault="00220E8A" w:rsidP="00220E8A">
      <w:pPr>
        <w:pStyle w:val="corpo"/>
      </w:pPr>
    </w:p>
    <w:p w14:paraId="3B1A428E" w14:textId="77777777" w:rsidR="00E95BBF" w:rsidRDefault="00E95BBF" w:rsidP="00C97A04"/>
    <w:p w14:paraId="797813C7" w14:textId="77777777" w:rsidR="00917BCC" w:rsidRDefault="00917BCC" w:rsidP="00C97A04"/>
    <w:p w14:paraId="0E9BC377" w14:textId="77777777" w:rsidR="00917BCC" w:rsidRDefault="00917BCC" w:rsidP="00C97A04"/>
    <w:p w14:paraId="08A65D9D" w14:textId="77777777" w:rsidR="00917BCC" w:rsidRDefault="00917BCC" w:rsidP="00C97A04"/>
    <w:p w14:paraId="7161F80B" w14:textId="77777777" w:rsidR="00917BCC" w:rsidRDefault="00917BCC" w:rsidP="00C97A04"/>
    <w:p w14:paraId="5675BE0C" w14:textId="77777777" w:rsidR="00917BCC" w:rsidRDefault="00917BCC" w:rsidP="00C97A04"/>
    <w:p w14:paraId="7E08BC88" w14:textId="77777777" w:rsidR="004B07D3" w:rsidRPr="004B07D3" w:rsidRDefault="00917BCC" w:rsidP="00917BCC">
      <w:pPr>
        <w:spacing w:after="160" w:line="259" w:lineRule="auto"/>
        <w:ind w:firstLine="0"/>
        <w:jc w:val="left"/>
        <w:rPr>
          <w:rFonts w:cs="Times New Roman"/>
          <w:b w:val="0"/>
        </w:rPr>
      </w:pPr>
      <w:r>
        <w:br w:type="page"/>
      </w:r>
    </w:p>
    <w:p w14:paraId="30359602" w14:textId="77777777" w:rsidR="004B07D3" w:rsidRDefault="004B07D3" w:rsidP="004B07D3">
      <w:pPr>
        <w:pStyle w:val="Ttulo1"/>
        <w:numPr>
          <w:ilvl w:val="0"/>
          <w:numId w:val="0"/>
        </w:numPr>
        <w:ind w:left="431" w:hanging="431"/>
        <w:rPr>
          <w:szCs w:val="24"/>
        </w:rPr>
      </w:pPr>
      <w:bookmarkStart w:id="75" w:name="_Toc28034668"/>
      <w:r w:rsidRPr="004B07D3">
        <w:rPr>
          <w:szCs w:val="24"/>
        </w:rPr>
        <w:t>CONCLUSÃO</w:t>
      </w:r>
      <w:bookmarkEnd w:id="75"/>
    </w:p>
    <w:p w14:paraId="12C89416" w14:textId="77777777" w:rsidR="00C541EE" w:rsidRDefault="00C541EE" w:rsidP="00C541EE"/>
    <w:p w14:paraId="33E5BCCD" w14:textId="7ED21BCE" w:rsidR="00893AE2" w:rsidRPr="00893AE2" w:rsidRDefault="009A0648" w:rsidP="00893AE2">
      <w:pPr>
        <w:rPr>
          <w:rFonts w:cs="Times New Roman"/>
          <w:b w:val="0"/>
          <w:bCs/>
        </w:rPr>
      </w:pPr>
      <w:r>
        <w:rPr>
          <w:rFonts w:cs="Times New Roman"/>
          <w:b w:val="0"/>
          <w:bCs/>
        </w:rPr>
        <w:t xml:space="preserve">O presente trabalho teve como foco principal o estudo do reconhecimento socioafetivo </w:t>
      </w:r>
      <w:r w:rsidR="00E73114">
        <w:rPr>
          <w:rFonts w:cs="Times New Roman"/>
          <w:b w:val="0"/>
          <w:bCs/>
        </w:rPr>
        <w:t xml:space="preserve">de filho </w:t>
      </w:r>
      <w:r>
        <w:rPr>
          <w:rFonts w:cs="Times New Roman"/>
          <w:b w:val="0"/>
          <w:bCs/>
        </w:rPr>
        <w:t>em dois países: Brasil e Portugal.</w:t>
      </w:r>
      <w:r w:rsidR="00E73114">
        <w:rPr>
          <w:rFonts w:cs="Times New Roman"/>
          <w:b w:val="0"/>
          <w:bCs/>
        </w:rPr>
        <w:t xml:space="preserve"> I</w:t>
      </w:r>
      <w:r w:rsidR="005E27E8">
        <w:rPr>
          <w:rFonts w:cs="Times New Roman"/>
          <w:b w:val="0"/>
          <w:bCs/>
        </w:rPr>
        <w:t>nicialmente f</w:t>
      </w:r>
      <w:r w:rsidR="009A13EC">
        <w:rPr>
          <w:rFonts w:cs="Times New Roman"/>
          <w:b w:val="0"/>
          <w:bCs/>
        </w:rPr>
        <w:t>oram feitas</w:t>
      </w:r>
      <w:r w:rsidR="005E27E8">
        <w:rPr>
          <w:rFonts w:cs="Times New Roman"/>
          <w:b w:val="0"/>
          <w:bCs/>
        </w:rPr>
        <w:t xml:space="preserve"> reflexões sobre o estado de filiação</w:t>
      </w:r>
      <w:r w:rsidR="00B70CC4">
        <w:rPr>
          <w:rFonts w:cs="Times New Roman"/>
          <w:b w:val="0"/>
          <w:bCs/>
        </w:rPr>
        <w:t>, demonstrando sua importância, na medida que</w:t>
      </w:r>
      <w:r w:rsidR="00183267">
        <w:rPr>
          <w:rFonts w:cs="Times New Roman"/>
          <w:b w:val="0"/>
          <w:bCs/>
        </w:rPr>
        <w:t xml:space="preserve"> é um direito </w:t>
      </w:r>
      <w:r w:rsidR="00B70CC4">
        <w:rPr>
          <w:rFonts w:cs="Times New Roman"/>
          <w:b w:val="0"/>
          <w:bCs/>
        </w:rPr>
        <w:t>classifica</w:t>
      </w:r>
      <w:r w:rsidR="00183267">
        <w:rPr>
          <w:rFonts w:cs="Times New Roman"/>
          <w:b w:val="0"/>
          <w:bCs/>
        </w:rPr>
        <w:t>do</w:t>
      </w:r>
      <w:r w:rsidR="00B70CC4">
        <w:rPr>
          <w:rFonts w:cs="Times New Roman"/>
          <w:b w:val="0"/>
          <w:bCs/>
        </w:rPr>
        <w:t xml:space="preserve"> como fundamental</w:t>
      </w:r>
      <w:r w:rsidR="00EC659D">
        <w:rPr>
          <w:rFonts w:cs="Times New Roman"/>
          <w:b w:val="0"/>
          <w:bCs/>
        </w:rPr>
        <w:t>.</w:t>
      </w:r>
      <w:r w:rsidR="003744BC">
        <w:rPr>
          <w:rFonts w:cs="Times New Roman"/>
          <w:b w:val="0"/>
          <w:bCs/>
        </w:rPr>
        <w:t xml:space="preserve"> Foram estudado</w:t>
      </w:r>
      <w:r w:rsidR="00317F48">
        <w:rPr>
          <w:rFonts w:cs="Times New Roman"/>
          <w:b w:val="0"/>
          <w:bCs/>
        </w:rPr>
        <w:t>s</w:t>
      </w:r>
      <w:r w:rsidR="003744BC">
        <w:rPr>
          <w:rFonts w:cs="Times New Roman"/>
          <w:b w:val="0"/>
          <w:bCs/>
        </w:rPr>
        <w:t xml:space="preserve"> </w:t>
      </w:r>
      <w:r w:rsidR="00EB168F">
        <w:rPr>
          <w:rFonts w:cs="Times New Roman"/>
          <w:b w:val="0"/>
          <w:bCs/>
        </w:rPr>
        <w:t xml:space="preserve">também </w:t>
      </w:r>
      <w:r w:rsidR="003744BC">
        <w:rPr>
          <w:rFonts w:cs="Times New Roman"/>
          <w:b w:val="0"/>
          <w:bCs/>
        </w:rPr>
        <w:t>os princípios aplicáveis</w:t>
      </w:r>
      <w:r w:rsidR="00317F48">
        <w:rPr>
          <w:rFonts w:cs="Times New Roman"/>
          <w:b w:val="0"/>
          <w:bCs/>
        </w:rPr>
        <w:t xml:space="preserve"> ao estado de filiação socioafetivo, que demonstram a </w:t>
      </w:r>
      <w:r w:rsidR="008A6BF4">
        <w:rPr>
          <w:rFonts w:cs="Times New Roman"/>
          <w:b w:val="0"/>
          <w:bCs/>
        </w:rPr>
        <w:t>relevância</w:t>
      </w:r>
      <w:r w:rsidR="00317F48">
        <w:rPr>
          <w:rFonts w:cs="Times New Roman"/>
          <w:b w:val="0"/>
          <w:bCs/>
        </w:rPr>
        <w:t xml:space="preserve"> de se proteg</w:t>
      </w:r>
      <w:r w:rsidR="00F50E03">
        <w:rPr>
          <w:rFonts w:cs="Times New Roman"/>
          <w:b w:val="0"/>
          <w:bCs/>
        </w:rPr>
        <w:t>ê</w:t>
      </w:r>
      <w:r w:rsidR="00317F48">
        <w:rPr>
          <w:rFonts w:cs="Times New Roman"/>
          <w:b w:val="0"/>
          <w:bCs/>
        </w:rPr>
        <w:t xml:space="preserve">-lo, bem como facilitar seu </w:t>
      </w:r>
      <w:r w:rsidR="00ED720F">
        <w:rPr>
          <w:rFonts w:cs="Times New Roman"/>
          <w:b w:val="0"/>
          <w:bCs/>
        </w:rPr>
        <w:t>reconheciment</w:t>
      </w:r>
      <w:r w:rsidR="00317F48">
        <w:rPr>
          <w:rFonts w:cs="Times New Roman"/>
          <w:b w:val="0"/>
          <w:bCs/>
        </w:rPr>
        <w:t xml:space="preserve">o, uma vez </w:t>
      </w:r>
      <w:r w:rsidR="00A67EFB">
        <w:rPr>
          <w:rFonts w:cs="Times New Roman"/>
          <w:b w:val="0"/>
          <w:bCs/>
        </w:rPr>
        <w:t xml:space="preserve">que </w:t>
      </w:r>
      <w:r w:rsidR="00893AE2" w:rsidRPr="00893AE2">
        <w:rPr>
          <w:rFonts w:cs="Times New Roman"/>
          <w:b w:val="0"/>
          <w:bCs/>
        </w:rPr>
        <w:t xml:space="preserve">as entidades familiares </w:t>
      </w:r>
      <w:r w:rsidR="00EB168F">
        <w:rPr>
          <w:rFonts w:cs="Times New Roman"/>
          <w:b w:val="0"/>
          <w:bCs/>
        </w:rPr>
        <w:t>modernas</w:t>
      </w:r>
      <w:r w:rsidR="00317F48">
        <w:rPr>
          <w:rFonts w:cs="Times New Roman"/>
          <w:b w:val="0"/>
          <w:bCs/>
        </w:rPr>
        <w:t xml:space="preserve"> </w:t>
      </w:r>
      <w:r w:rsidR="00893AE2" w:rsidRPr="00893AE2">
        <w:rPr>
          <w:rFonts w:cs="Times New Roman"/>
          <w:b w:val="0"/>
          <w:bCs/>
        </w:rPr>
        <w:t>não se baseia</w:t>
      </w:r>
      <w:r w:rsidR="00F50E03">
        <w:rPr>
          <w:rFonts w:cs="Times New Roman"/>
          <w:b w:val="0"/>
          <w:bCs/>
        </w:rPr>
        <w:t>m</w:t>
      </w:r>
      <w:r w:rsidR="00893AE2" w:rsidRPr="00893AE2">
        <w:rPr>
          <w:rFonts w:cs="Times New Roman"/>
          <w:b w:val="0"/>
          <w:bCs/>
        </w:rPr>
        <w:t xml:space="preserve"> mais apenas nos vínculos biológicos. A família da pós-modernidade baseia-se muito mais nos laços de afeto. </w:t>
      </w:r>
    </w:p>
    <w:p w14:paraId="0F88CFC7" w14:textId="7B40210A" w:rsidR="00893AE2" w:rsidRDefault="00893AE2" w:rsidP="00893AE2">
      <w:pPr>
        <w:rPr>
          <w:rFonts w:cs="Times New Roman"/>
          <w:b w:val="0"/>
          <w:bCs/>
        </w:rPr>
      </w:pPr>
      <w:r w:rsidRPr="00893AE2">
        <w:rPr>
          <w:rFonts w:cs="Times New Roman"/>
          <w:b w:val="0"/>
          <w:bCs/>
        </w:rPr>
        <w:t xml:space="preserve">Verificou-se que o conceito de família trazido pela doutrina e jurisprudência não é mais estático, e sim dinâmico, </w:t>
      </w:r>
      <w:r w:rsidR="008A2903">
        <w:rPr>
          <w:rFonts w:cs="Times New Roman"/>
          <w:b w:val="0"/>
          <w:bCs/>
        </w:rPr>
        <w:t xml:space="preserve">pois </w:t>
      </w:r>
      <w:r w:rsidRPr="00893AE2">
        <w:rPr>
          <w:rFonts w:cs="Times New Roman"/>
          <w:b w:val="0"/>
          <w:bCs/>
        </w:rPr>
        <w:t>não há um conceito fechado do que seja a família</w:t>
      </w:r>
      <w:r w:rsidR="001B0DF7">
        <w:rPr>
          <w:rFonts w:cs="Times New Roman"/>
          <w:b w:val="0"/>
          <w:bCs/>
        </w:rPr>
        <w:t>.</w:t>
      </w:r>
      <w:r w:rsidRPr="00893AE2">
        <w:rPr>
          <w:rFonts w:cs="Times New Roman"/>
          <w:b w:val="0"/>
          <w:bCs/>
        </w:rPr>
        <w:t xml:space="preserve"> </w:t>
      </w:r>
      <w:r w:rsidR="001B0DF7">
        <w:rPr>
          <w:rFonts w:cs="Times New Roman"/>
          <w:b w:val="0"/>
          <w:bCs/>
        </w:rPr>
        <w:t>A</w:t>
      </w:r>
      <w:r w:rsidRPr="00893AE2">
        <w:rPr>
          <w:rFonts w:cs="Times New Roman"/>
          <w:b w:val="0"/>
          <w:bCs/>
        </w:rPr>
        <w:t>s mudanças sociais influenciam na mudança da formação das entidades familiares.</w:t>
      </w:r>
      <w:r w:rsidR="00F50E03">
        <w:rPr>
          <w:rFonts w:cs="Times New Roman"/>
          <w:b w:val="0"/>
          <w:bCs/>
        </w:rPr>
        <w:t xml:space="preserve"> </w:t>
      </w:r>
      <w:r w:rsidR="001B0DF7">
        <w:rPr>
          <w:rFonts w:cs="Times New Roman"/>
          <w:b w:val="0"/>
          <w:bCs/>
        </w:rPr>
        <w:t>E</w:t>
      </w:r>
      <w:r w:rsidRPr="00893AE2">
        <w:rPr>
          <w:rFonts w:cs="Times New Roman"/>
          <w:b w:val="0"/>
          <w:bCs/>
        </w:rPr>
        <w:t xml:space="preserve">, todas </w:t>
      </w:r>
      <w:r w:rsidR="00F50E03">
        <w:rPr>
          <w:rFonts w:cs="Times New Roman"/>
          <w:b w:val="0"/>
          <w:bCs/>
        </w:rPr>
        <w:t xml:space="preserve">as </w:t>
      </w:r>
      <w:r w:rsidRPr="00893AE2">
        <w:rPr>
          <w:rFonts w:cs="Times New Roman"/>
          <w:b w:val="0"/>
          <w:bCs/>
        </w:rPr>
        <w:t xml:space="preserve">entidades familiares e seus membros devem ser protegidos pelo Estado, </w:t>
      </w:r>
      <w:r w:rsidR="00F50E03">
        <w:rPr>
          <w:rFonts w:cs="Times New Roman"/>
          <w:b w:val="0"/>
          <w:bCs/>
        </w:rPr>
        <w:t xml:space="preserve">não </w:t>
      </w:r>
      <w:r w:rsidRPr="00893AE2">
        <w:rPr>
          <w:rFonts w:cs="Times New Roman"/>
          <w:b w:val="0"/>
          <w:bCs/>
        </w:rPr>
        <w:t xml:space="preserve">se </w:t>
      </w:r>
      <w:r w:rsidR="00F50E03">
        <w:rPr>
          <w:rFonts w:cs="Times New Roman"/>
          <w:b w:val="0"/>
          <w:bCs/>
        </w:rPr>
        <w:t xml:space="preserve">podendo </w:t>
      </w:r>
      <w:r w:rsidRPr="00893AE2">
        <w:rPr>
          <w:rFonts w:cs="Times New Roman"/>
          <w:b w:val="0"/>
          <w:bCs/>
        </w:rPr>
        <w:t xml:space="preserve">fazer distinções </w:t>
      </w:r>
      <w:r w:rsidR="00F50E03">
        <w:rPr>
          <w:rFonts w:cs="Times New Roman"/>
          <w:b w:val="0"/>
          <w:bCs/>
        </w:rPr>
        <w:t xml:space="preserve">onde </w:t>
      </w:r>
      <w:r w:rsidRPr="00893AE2">
        <w:rPr>
          <w:rFonts w:cs="Times New Roman"/>
          <w:b w:val="0"/>
          <w:bCs/>
        </w:rPr>
        <w:t xml:space="preserve">a lei não </w:t>
      </w:r>
      <w:r w:rsidR="00F50E03">
        <w:rPr>
          <w:rFonts w:cs="Times New Roman"/>
          <w:b w:val="0"/>
          <w:bCs/>
        </w:rPr>
        <w:t>o faz</w:t>
      </w:r>
      <w:r w:rsidRPr="00893AE2">
        <w:rPr>
          <w:rFonts w:cs="Times New Roman"/>
          <w:b w:val="0"/>
          <w:bCs/>
        </w:rPr>
        <w:t>.</w:t>
      </w:r>
    </w:p>
    <w:p w14:paraId="0E97CDD4" w14:textId="4DCD4A09" w:rsidR="001C58E2" w:rsidRDefault="00EB168F" w:rsidP="00893AE2">
      <w:pPr>
        <w:rPr>
          <w:rFonts w:cs="Times New Roman"/>
          <w:b w:val="0"/>
          <w:bCs/>
        </w:rPr>
      </w:pPr>
      <w:r>
        <w:rPr>
          <w:rFonts w:cs="Times New Roman"/>
          <w:b w:val="0"/>
          <w:bCs/>
        </w:rPr>
        <w:t>Mais adiante, no capítulo 2 fizemos as considerações acerca da filiação. Pôde</w:t>
      </w:r>
      <w:r w:rsidR="00B033FB">
        <w:rPr>
          <w:rFonts w:cs="Times New Roman"/>
          <w:b w:val="0"/>
          <w:bCs/>
        </w:rPr>
        <w:t>-</w:t>
      </w:r>
      <w:r>
        <w:rPr>
          <w:rFonts w:cs="Times New Roman"/>
          <w:b w:val="0"/>
          <w:bCs/>
        </w:rPr>
        <w:t>se verificar que as modalidades de filiação, em razão da mutação</w:t>
      </w:r>
      <w:r w:rsidR="007A3677">
        <w:rPr>
          <w:rFonts w:cs="Times New Roman"/>
          <w:b w:val="0"/>
          <w:bCs/>
        </w:rPr>
        <w:t xml:space="preserve"> pelo que passa a família</w:t>
      </w:r>
      <w:r>
        <w:rPr>
          <w:rFonts w:cs="Times New Roman"/>
          <w:b w:val="0"/>
          <w:bCs/>
        </w:rPr>
        <w:t>, também sofreu alterações.</w:t>
      </w:r>
      <w:r w:rsidR="007A3677">
        <w:rPr>
          <w:rFonts w:cs="Times New Roman"/>
          <w:b w:val="0"/>
          <w:bCs/>
        </w:rPr>
        <w:t xml:space="preserve"> Atualmente, a filiação não se restringe apenas à biológica e à jurídica, mas há também a filiação socioafetiva e a decorrente de procriação medicamente assistida.</w:t>
      </w:r>
      <w:r w:rsidR="00B033FB">
        <w:rPr>
          <w:rFonts w:cs="Times New Roman"/>
          <w:b w:val="0"/>
          <w:bCs/>
        </w:rPr>
        <w:t xml:space="preserve"> </w:t>
      </w:r>
      <w:r w:rsidR="004A783D">
        <w:rPr>
          <w:rFonts w:cs="Times New Roman"/>
          <w:b w:val="0"/>
          <w:bCs/>
        </w:rPr>
        <w:t>Dentro do conceito de filiação socioafetiva</w:t>
      </w:r>
      <w:r w:rsidR="00867A9E">
        <w:rPr>
          <w:rFonts w:cs="Times New Roman"/>
          <w:b w:val="0"/>
          <w:bCs/>
        </w:rPr>
        <w:t>, verificamos a existência d</w:t>
      </w:r>
      <w:r w:rsidR="00D778F5">
        <w:rPr>
          <w:rFonts w:cs="Times New Roman"/>
          <w:b w:val="0"/>
          <w:bCs/>
        </w:rPr>
        <w:t>a figura d</w:t>
      </w:r>
      <w:r w:rsidR="001C58E2">
        <w:rPr>
          <w:rFonts w:cs="Times New Roman"/>
          <w:b w:val="0"/>
          <w:bCs/>
        </w:rPr>
        <w:t>a filiação socioafetiva advinda da adoção à brasileira. Em que pese a adoção à brasileira se</w:t>
      </w:r>
      <w:r w:rsidR="00D22FD9">
        <w:rPr>
          <w:rFonts w:cs="Times New Roman"/>
          <w:b w:val="0"/>
          <w:bCs/>
        </w:rPr>
        <w:t xml:space="preserve">ja </w:t>
      </w:r>
      <w:r w:rsidR="001C58E2">
        <w:rPr>
          <w:rFonts w:cs="Times New Roman"/>
          <w:b w:val="0"/>
          <w:bCs/>
        </w:rPr>
        <w:t xml:space="preserve">uma adoção simulada, não se pode fechar os olhos para os laços socioafetivos que ela gera entre pai e filho, </w:t>
      </w:r>
      <w:r w:rsidR="0049271D">
        <w:rPr>
          <w:rFonts w:cs="Times New Roman"/>
          <w:b w:val="0"/>
          <w:bCs/>
        </w:rPr>
        <w:t xml:space="preserve">o </w:t>
      </w:r>
      <w:r w:rsidR="001C58E2">
        <w:rPr>
          <w:rFonts w:cs="Times New Roman"/>
          <w:b w:val="0"/>
          <w:bCs/>
        </w:rPr>
        <w:t>que não poderia ficar legalment</w:t>
      </w:r>
      <w:r w:rsidR="008D7A53">
        <w:rPr>
          <w:rFonts w:cs="Times New Roman"/>
          <w:b w:val="0"/>
          <w:bCs/>
        </w:rPr>
        <w:t xml:space="preserve">e </w:t>
      </w:r>
      <w:r w:rsidR="001C58E2">
        <w:rPr>
          <w:rFonts w:cs="Times New Roman"/>
          <w:b w:val="0"/>
          <w:bCs/>
        </w:rPr>
        <w:t>desprotegid</w:t>
      </w:r>
      <w:r w:rsidR="0086108E">
        <w:rPr>
          <w:rFonts w:cs="Times New Roman"/>
          <w:b w:val="0"/>
          <w:bCs/>
        </w:rPr>
        <w:t>o</w:t>
      </w:r>
      <w:r w:rsidR="001C58E2">
        <w:rPr>
          <w:rFonts w:cs="Times New Roman"/>
          <w:b w:val="0"/>
          <w:bCs/>
        </w:rPr>
        <w:t xml:space="preserve">.  </w:t>
      </w:r>
    </w:p>
    <w:p w14:paraId="70BFEAE5" w14:textId="5938E6BF" w:rsidR="00D544CF" w:rsidRDefault="00DE28A4" w:rsidP="00893AE2">
      <w:pPr>
        <w:rPr>
          <w:rFonts w:cs="Times New Roman"/>
          <w:b w:val="0"/>
          <w:bCs/>
        </w:rPr>
      </w:pPr>
      <w:r>
        <w:rPr>
          <w:rFonts w:cs="Times New Roman"/>
          <w:b w:val="0"/>
          <w:bCs/>
        </w:rPr>
        <w:t>Ademais, foi feita uma análise da</w:t>
      </w:r>
      <w:r w:rsidR="00D47303">
        <w:rPr>
          <w:rFonts w:cs="Times New Roman"/>
          <w:b w:val="0"/>
          <w:bCs/>
        </w:rPr>
        <w:t xml:space="preserve"> filiação decorrente de procriação medicamente assistida</w:t>
      </w:r>
      <w:r>
        <w:rPr>
          <w:rFonts w:cs="Times New Roman"/>
          <w:b w:val="0"/>
          <w:bCs/>
        </w:rPr>
        <w:t xml:space="preserve">. </w:t>
      </w:r>
      <w:r w:rsidR="00D544CF">
        <w:rPr>
          <w:rFonts w:cs="Times New Roman"/>
          <w:b w:val="0"/>
          <w:bCs/>
        </w:rPr>
        <w:t xml:space="preserve">Esta é resultante de um avanço biotecnológico, em que é praticada tanto no Brasil quanto em Portugal. No entanto, no Brasil ainda não há uma legislação específica sobre o assunto, mas apenas Resoluções do Conselho Federal de Medicina que dispõe sobre normas éticas para a utilização das técnicas de reprodução assistida. Já em Portugal, há a Lei n° </w:t>
      </w:r>
      <w:r w:rsidR="00A44616">
        <w:rPr>
          <w:rFonts w:cs="Times New Roman"/>
          <w:b w:val="0"/>
          <w:bCs/>
        </w:rPr>
        <w:t>32</w:t>
      </w:r>
      <w:r w:rsidR="00D544CF">
        <w:rPr>
          <w:rFonts w:cs="Times New Roman"/>
          <w:b w:val="0"/>
          <w:bCs/>
        </w:rPr>
        <w:t>/20</w:t>
      </w:r>
      <w:r w:rsidR="00A44616">
        <w:rPr>
          <w:rFonts w:cs="Times New Roman"/>
          <w:b w:val="0"/>
          <w:bCs/>
        </w:rPr>
        <w:t>06</w:t>
      </w:r>
      <w:r w:rsidR="009975AD">
        <w:rPr>
          <w:rFonts w:cs="Times New Roman"/>
          <w:b w:val="0"/>
          <w:bCs/>
        </w:rPr>
        <w:t>, que regula</w:t>
      </w:r>
      <w:r w:rsidR="00291D4F">
        <w:rPr>
          <w:rFonts w:cs="Times New Roman"/>
          <w:b w:val="0"/>
          <w:bCs/>
        </w:rPr>
        <w:t>menta</w:t>
      </w:r>
      <w:r w:rsidR="009975AD">
        <w:rPr>
          <w:rFonts w:cs="Times New Roman"/>
          <w:b w:val="0"/>
          <w:bCs/>
        </w:rPr>
        <w:t xml:space="preserve"> a utilização de técnicas de procriação medicamente assistida.</w:t>
      </w:r>
    </w:p>
    <w:p w14:paraId="0DA34BD4" w14:textId="45E923CF" w:rsidR="00A44BFD" w:rsidRDefault="00BB3DC4" w:rsidP="00893AE2">
      <w:pPr>
        <w:rPr>
          <w:rFonts w:cs="Times New Roman"/>
          <w:b w:val="0"/>
          <w:bCs/>
        </w:rPr>
      </w:pPr>
      <w:r>
        <w:rPr>
          <w:rFonts w:cs="Times New Roman"/>
          <w:b w:val="0"/>
          <w:bCs/>
        </w:rPr>
        <w:t xml:space="preserve">A grande questão </w:t>
      </w:r>
      <w:r w:rsidR="00A05A7F">
        <w:rPr>
          <w:rFonts w:cs="Times New Roman"/>
          <w:b w:val="0"/>
          <w:bCs/>
        </w:rPr>
        <w:t xml:space="preserve">que envolve </w:t>
      </w:r>
      <w:r>
        <w:rPr>
          <w:rFonts w:cs="Times New Roman"/>
          <w:b w:val="0"/>
          <w:bCs/>
        </w:rPr>
        <w:t xml:space="preserve">esse tipo de filiação é </w:t>
      </w:r>
      <w:r w:rsidR="00713F0C">
        <w:rPr>
          <w:rFonts w:cs="Times New Roman"/>
          <w:b w:val="0"/>
          <w:bCs/>
        </w:rPr>
        <w:t>fato</w:t>
      </w:r>
      <w:r w:rsidR="008946D7">
        <w:rPr>
          <w:rFonts w:cs="Times New Roman"/>
          <w:b w:val="0"/>
          <w:bCs/>
        </w:rPr>
        <w:t xml:space="preserve"> de </w:t>
      </w:r>
      <w:r w:rsidR="00050D67">
        <w:rPr>
          <w:rFonts w:cs="Times New Roman"/>
          <w:b w:val="0"/>
          <w:bCs/>
        </w:rPr>
        <w:t>poder surgir d</w:t>
      </w:r>
      <w:r w:rsidR="008946D7">
        <w:rPr>
          <w:rFonts w:cs="Times New Roman"/>
          <w:b w:val="0"/>
          <w:bCs/>
        </w:rPr>
        <w:t xml:space="preserve">úvidas no momento do estabelecimento da maternidade e </w:t>
      </w:r>
      <w:r w:rsidR="00713F0C">
        <w:rPr>
          <w:rFonts w:cs="Times New Roman"/>
          <w:b w:val="0"/>
          <w:bCs/>
        </w:rPr>
        <w:t>paternidade</w:t>
      </w:r>
      <w:r>
        <w:rPr>
          <w:rFonts w:cs="Times New Roman"/>
          <w:b w:val="0"/>
          <w:bCs/>
        </w:rPr>
        <w:t xml:space="preserve">, já que </w:t>
      </w:r>
      <w:r w:rsidR="00D42173">
        <w:rPr>
          <w:rFonts w:cs="Times New Roman"/>
          <w:b w:val="0"/>
          <w:bCs/>
        </w:rPr>
        <w:t xml:space="preserve">há </w:t>
      </w:r>
      <w:r w:rsidR="008946D7">
        <w:rPr>
          <w:rFonts w:cs="Times New Roman"/>
          <w:b w:val="0"/>
          <w:bCs/>
        </w:rPr>
        <w:t>outros interessados</w:t>
      </w:r>
      <w:r w:rsidR="00D42173">
        <w:rPr>
          <w:rFonts w:cs="Times New Roman"/>
          <w:b w:val="0"/>
          <w:bCs/>
        </w:rPr>
        <w:t xml:space="preserve">, além dos pais, </w:t>
      </w:r>
      <w:r>
        <w:rPr>
          <w:rFonts w:cs="Times New Roman"/>
          <w:b w:val="0"/>
          <w:bCs/>
        </w:rPr>
        <w:t>participa</w:t>
      </w:r>
      <w:r w:rsidR="008946D7">
        <w:rPr>
          <w:rFonts w:cs="Times New Roman"/>
          <w:b w:val="0"/>
          <w:bCs/>
        </w:rPr>
        <w:t>m</w:t>
      </w:r>
      <w:r>
        <w:rPr>
          <w:rFonts w:cs="Times New Roman"/>
          <w:b w:val="0"/>
          <w:bCs/>
        </w:rPr>
        <w:t xml:space="preserve"> </w:t>
      </w:r>
      <w:r w:rsidR="008946D7">
        <w:rPr>
          <w:rFonts w:cs="Times New Roman"/>
          <w:b w:val="0"/>
          <w:bCs/>
        </w:rPr>
        <w:t>d</w:t>
      </w:r>
      <w:r>
        <w:rPr>
          <w:rFonts w:cs="Times New Roman"/>
          <w:b w:val="0"/>
          <w:bCs/>
        </w:rPr>
        <w:t>o processo de criação, aventando-se a possibilidade do vínculo ser criado por ambos os tipos de parentesco, ou seja, os dadores genéticos têm o vínculo consanguíneo, e os titulares do projeto parental têm o</w:t>
      </w:r>
      <w:r w:rsidR="002E1A7D">
        <w:rPr>
          <w:rFonts w:cs="Times New Roman"/>
          <w:b w:val="0"/>
          <w:bCs/>
        </w:rPr>
        <w:t xml:space="preserve"> vínculo civil</w:t>
      </w:r>
      <w:r>
        <w:rPr>
          <w:rFonts w:cs="Times New Roman"/>
          <w:b w:val="0"/>
          <w:bCs/>
        </w:rPr>
        <w:t xml:space="preserve">. </w:t>
      </w:r>
      <w:r w:rsidR="00B033FB">
        <w:rPr>
          <w:rFonts w:cs="Times New Roman"/>
          <w:b w:val="0"/>
          <w:bCs/>
        </w:rPr>
        <w:t xml:space="preserve">Nesses termos, aprofundou-se o estudo de cada uma dessas modalidades de filiação, </w:t>
      </w:r>
      <w:r w:rsidR="00D77D11">
        <w:rPr>
          <w:rFonts w:cs="Times New Roman"/>
          <w:b w:val="0"/>
          <w:bCs/>
        </w:rPr>
        <w:t xml:space="preserve">já que a compreensão desses conceitos </w:t>
      </w:r>
      <w:r w:rsidR="00B576A3">
        <w:rPr>
          <w:rFonts w:cs="Times New Roman"/>
          <w:b w:val="0"/>
          <w:bCs/>
        </w:rPr>
        <w:t>é</w:t>
      </w:r>
      <w:r w:rsidR="00D77D11">
        <w:rPr>
          <w:rFonts w:cs="Times New Roman"/>
          <w:b w:val="0"/>
          <w:bCs/>
        </w:rPr>
        <w:t xml:space="preserve"> imprescindível para o desenvolvimento do trabalho.</w:t>
      </w:r>
    </w:p>
    <w:p w14:paraId="4CA0C893" w14:textId="29403DB2" w:rsidR="00EB168F" w:rsidRDefault="00BD4DC6" w:rsidP="00893AE2">
      <w:pPr>
        <w:rPr>
          <w:rFonts w:cs="Times New Roman"/>
          <w:b w:val="0"/>
          <w:bCs/>
        </w:rPr>
      </w:pPr>
      <w:r>
        <w:rPr>
          <w:rFonts w:cs="Times New Roman"/>
          <w:b w:val="0"/>
          <w:bCs/>
        </w:rPr>
        <w:t xml:space="preserve">Por fim, no capítulo 3 adentramos no </w:t>
      </w:r>
      <w:r w:rsidR="00954CAF">
        <w:rPr>
          <w:rFonts w:cs="Times New Roman"/>
          <w:b w:val="0"/>
          <w:bCs/>
        </w:rPr>
        <w:t>tema específico do reconhecimento de filho. Inicialmente foi feito um estudo</w:t>
      </w:r>
      <w:r w:rsidR="006B3A45">
        <w:rPr>
          <w:rFonts w:cs="Times New Roman"/>
          <w:b w:val="0"/>
          <w:bCs/>
        </w:rPr>
        <w:t>, de modo ampla,</w:t>
      </w:r>
      <w:r w:rsidR="00954CAF">
        <w:rPr>
          <w:rFonts w:cs="Times New Roman"/>
          <w:b w:val="0"/>
          <w:bCs/>
        </w:rPr>
        <w:t xml:space="preserve"> das formas </w:t>
      </w:r>
      <w:r w:rsidR="007B34E9">
        <w:rPr>
          <w:rFonts w:cs="Times New Roman"/>
          <w:b w:val="0"/>
          <w:bCs/>
        </w:rPr>
        <w:t xml:space="preserve">possíveis </w:t>
      </w:r>
      <w:r w:rsidR="00954CAF">
        <w:rPr>
          <w:rFonts w:cs="Times New Roman"/>
          <w:b w:val="0"/>
          <w:bCs/>
        </w:rPr>
        <w:t>de estabelecimento de paternidade, no Brasil e em Portugal</w:t>
      </w:r>
      <w:r w:rsidR="0048186D">
        <w:rPr>
          <w:rFonts w:cs="Times New Roman"/>
          <w:b w:val="0"/>
          <w:bCs/>
        </w:rPr>
        <w:t>.</w:t>
      </w:r>
      <w:r w:rsidR="005E648B">
        <w:rPr>
          <w:rFonts w:cs="Times New Roman"/>
          <w:b w:val="0"/>
          <w:bCs/>
        </w:rPr>
        <w:t xml:space="preserve"> </w:t>
      </w:r>
      <w:r w:rsidR="004B1839">
        <w:rPr>
          <w:rFonts w:cs="Times New Roman"/>
          <w:b w:val="0"/>
          <w:bCs/>
        </w:rPr>
        <w:t>A</w:t>
      </w:r>
      <w:r w:rsidR="005E648B">
        <w:rPr>
          <w:rFonts w:cs="Times New Roman"/>
          <w:b w:val="0"/>
          <w:bCs/>
        </w:rPr>
        <w:t>bordou-se os casos de presunção</w:t>
      </w:r>
      <w:r w:rsidR="0064257E">
        <w:rPr>
          <w:rFonts w:cs="Times New Roman"/>
          <w:b w:val="0"/>
          <w:bCs/>
        </w:rPr>
        <w:t xml:space="preserve"> legal</w:t>
      </w:r>
      <w:r w:rsidR="005E648B">
        <w:rPr>
          <w:rFonts w:cs="Times New Roman"/>
          <w:b w:val="0"/>
          <w:bCs/>
        </w:rPr>
        <w:t xml:space="preserve"> de paternidade</w:t>
      </w:r>
      <w:r w:rsidR="002B4321">
        <w:rPr>
          <w:rFonts w:cs="Times New Roman"/>
          <w:b w:val="0"/>
          <w:bCs/>
        </w:rPr>
        <w:t xml:space="preserve"> nesses dois sistemas, bem como as vias possíveis de se estabelecer a paternidade, caso esta não tenha sido fixada no momento de registro de nascimento da criança. </w:t>
      </w:r>
    </w:p>
    <w:p w14:paraId="4F3B90F5" w14:textId="77777777" w:rsidR="00C81B5D" w:rsidRDefault="00C64B86" w:rsidP="00893AE2">
      <w:pPr>
        <w:rPr>
          <w:rFonts w:cs="Times New Roman"/>
          <w:b w:val="0"/>
          <w:bCs/>
        </w:rPr>
      </w:pPr>
      <w:r>
        <w:rPr>
          <w:rFonts w:cs="Times New Roman"/>
          <w:b w:val="0"/>
          <w:bCs/>
        </w:rPr>
        <w:t>No Brasil, a regularização do vínculo jurídico de parentesco, quando não houver presunção legal de paternidade, ou quando esta for afastada, pode ser feito pelo reconhecimento na via administrativa ou judicial.</w:t>
      </w:r>
      <w:r w:rsidR="00C81B5D">
        <w:rPr>
          <w:rFonts w:cs="Times New Roman"/>
          <w:b w:val="0"/>
          <w:bCs/>
        </w:rPr>
        <w:t xml:space="preserve"> </w:t>
      </w:r>
      <w:r w:rsidR="002D103F">
        <w:rPr>
          <w:rFonts w:cs="Times New Roman"/>
          <w:b w:val="0"/>
          <w:bCs/>
        </w:rPr>
        <w:t xml:space="preserve">A hipótese </w:t>
      </w:r>
      <w:r w:rsidR="00C81B5D">
        <w:rPr>
          <w:rFonts w:cs="Times New Roman"/>
          <w:b w:val="0"/>
          <w:bCs/>
        </w:rPr>
        <w:t>de reconhecimento voluntário de filho biológico</w:t>
      </w:r>
      <w:r w:rsidR="002D103F">
        <w:rPr>
          <w:rFonts w:cs="Times New Roman"/>
          <w:b w:val="0"/>
          <w:bCs/>
        </w:rPr>
        <w:t>, na via administrativa ou extrajudicial, está prevista no Provimento n° 16/2012, do CNJ</w:t>
      </w:r>
      <w:r w:rsidR="0081527D">
        <w:rPr>
          <w:rFonts w:cs="Times New Roman"/>
          <w:b w:val="0"/>
          <w:bCs/>
        </w:rPr>
        <w:t>. O pai, interessado no reconhecimento de seu filho e com a vontade inequívoca de o faz</w:t>
      </w:r>
      <w:r w:rsidR="00CC5195">
        <w:rPr>
          <w:rFonts w:cs="Times New Roman"/>
          <w:b w:val="0"/>
          <w:bCs/>
        </w:rPr>
        <w:t>er</w:t>
      </w:r>
      <w:r w:rsidR="0081527D">
        <w:rPr>
          <w:rFonts w:cs="Times New Roman"/>
          <w:b w:val="0"/>
          <w:bCs/>
        </w:rPr>
        <w:t>, comparece ao Cartório para que o oficial colha sua manifestação de vontade e posteriormente averbe a paternidade no assento de nascimento do</w:t>
      </w:r>
      <w:r w:rsidR="00B6495B">
        <w:rPr>
          <w:rFonts w:cs="Times New Roman"/>
          <w:b w:val="0"/>
          <w:bCs/>
        </w:rPr>
        <w:t xml:space="preserve"> seu</w:t>
      </w:r>
      <w:r w:rsidR="0081527D">
        <w:rPr>
          <w:rFonts w:cs="Times New Roman"/>
          <w:b w:val="0"/>
          <w:bCs/>
        </w:rPr>
        <w:t xml:space="preserve"> filho. Assim, o reconhecimento de filho na via extrajudicial </w:t>
      </w:r>
      <w:r w:rsidR="004857EE">
        <w:rPr>
          <w:rFonts w:cs="Times New Roman"/>
          <w:b w:val="0"/>
          <w:bCs/>
        </w:rPr>
        <w:t>é o que ganha maior relevância no Brasil, devido ao seu procedimento ser simples e célere, e não necessitar da intervenção judicial, nem do Ministério Público.</w:t>
      </w:r>
      <w:r w:rsidR="0081527D">
        <w:rPr>
          <w:rFonts w:cs="Times New Roman"/>
          <w:b w:val="0"/>
          <w:bCs/>
        </w:rPr>
        <w:t xml:space="preserve">  </w:t>
      </w:r>
      <w:r w:rsidR="002D103F">
        <w:rPr>
          <w:rFonts w:cs="Times New Roman"/>
          <w:b w:val="0"/>
          <w:bCs/>
        </w:rPr>
        <w:t xml:space="preserve">  </w:t>
      </w:r>
      <w:r w:rsidR="00C81B5D">
        <w:rPr>
          <w:rFonts w:cs="Times New Roman"/>
          <w:b w:val="0"/>
          <w:bCs/>
        </w:rPr>
        <w:t xml:space="preserve">  </w:t>
      </w:r>
      <w:r w:rsidR="00170C27">
        <w:rPr>
          <w:rFonts w:cs="Times New Roman"/>
          <w:b w:val="0"/>
          <w:bCs/>
        </w:rPr>
        <w:t xml:space="preserve"> </w:t>
      </w:r>
    </w:p>
    <w:p w14:paraId="3B34F3E0" w14:textId="77777777" w:rsidR="008D7357" w:rsidRPr="00893AE2" w:rsidRDefault="00170C27" w:rsidP="00893AE2">
      <w:pPr>
        <w:rPr>
          <w:rFonts w:cs="Times New Roman"/>
          <w:b w:val="0"/>
          <w:bCs/>
        </w:rPr>
      </w:pPr>
      <w:r>
        <w:rPr>
          <w:rFonts w:cs="Times New Roman"/>
          <w:b w:val="0"/>
          <w:bCs/>
        </w:rPr>
        <w:t xml:space="preserve">De outro modo, se o reconhecimento </w:t>
      </w:r>
      <w:r w:rsidR="00823701">
        <w:rPr>
          <w:rFonts w:cs="Times New Roman"/>
          <w:b w:val="0"/>
          <w:bCs/>
        </w:rPr>
        <w:t>de paternidade não for realizado de forma voluntária, existe a possibilidade da averiguação oficiosa na via administrativa, ou da ação de investigação de paternidade, na via judicial.</w:t>
      </w:r>
      <w:r w:rsidR="00CC7C5B">
        <w:rPr>
          <w:rFonts w:cs="Times New Roman"/>
          <w:b w:val="0"/>
          <w:bCs/>
        </w:rPr>
        <w:t xml:space="preserve"> Essas são as formas em que há a provocação pela parte interessada, já que não houve a concordância expressa do pai.</w:t>
      </w:r>
    </w:p>
    <w:p w14:paraId="797CAF4A" w14:textId="0C771B2D" w:rsidR="00C541EE" w:rsidRDefault="00C541EE" w:rsidP="00C541EE">
      <w:pPr>
        <w:rPr>
          <w:b w:val="0"/>
          <w:bCs/>
        </w:rPr>
      </w:pPr>
      <w:r w:rsidRPr="00C541EE">
        <w:rPr>
          <w:b w:val="0"/>
          <w:bCs/>
        </w:rPr>
        <w:t>Dentro dessa nova perspectiva,</w:t>
      </w:r>
      <w:r w:rsidR="00AC5C3D">
        <w:rPr>
          <w:b w:val="0"/>
          <w:bCs/>
        </w:rPr>
        <w:t xml:space="preserve"> no Brasil</w:t>
      </w:r>
      <w:r w:rsidR="001E0BF6">
        <w:rPr>
          <w:b w:val="0"/>
          <w:bCs/>
        </w:rPr>
        <w:t>,</w:t>
      </w:r>
      <w:r w:rsidRPr="00C541EE">
        <w:rPr>
          <w:b w:val="0"/>
          <w:bCs/>
        </w:rPr>
        <w:t xml:space="preserve"> </w:t>
      </w:r>
      <w:r w:rsidR="00C32E36">
        <w:rPr>
          <w:b w:val="0"/>
          <w:bCs/>
        </w:rPr>
        <w:t>fo</w:t>
      </w:r>
      <w:r w:rsidR="00C32E36" w:rsidRPr="00C541EE">
        <w:rPr>
          <w:b w:val="0"/>
          <w:bCs/>
        </w:rPr>
        <w:t>ram editados inúmeros provimentos pelo CNJ, bem como leis que autoriza</w:t>
      </w:r>
      <w:r w:rsidR="001E0BF6">
        <w:rPr>
          <w:b w:val="0"/>
          <w:bCs/>
        </w:rPr>
        <w:t xml:space="preserve">m </w:t>
      </w:r>
      <w:r w:rsidR="00C32E36" w:rsidRPr="00C541EE">
        <w:rPr>
          <w:b w:val="0"/>
          <w:bCs/>
        </w:rPr>
        <w:t xml:space="preserve">essa atuação direta </w:t>
      </w:r>
      <w:r w:rsidR="00C32E36">
        <w:rPr>
          <w:b w:val="0"/>
          <w:bCs/>
        </w:rPr>
        <w:t>d</w:t>
      </w:r>
      <w:r w:rsidR="00972B1B">
        <w:rPr>
          <w:b w:val="0"/>
          <w:bCs/>
        </w:rPr>
        <w:t>os</w:t>
      </w:r>
      <w:r w:rsidR="00C32E36" w:rsidRPr="00C541EE">
        <w:rPr>
          <w:b w:val="0"/>
          <w:bCs/>
        </w:rPr>
        <w:t xml:space="preserve"> procedimentos pelos Cartórios Extrajudiciais, como forma auxiliadora à justiça.</w:t>
      </w:r>
      <w:r w:rsidR="00972B1B">
        <w:rPr>
          <w:b w:val="0"/>
          <w:bCs/>
        </w:rPr>
        <w:t xml:space="preserve"> </w:t>
      </w:r>
      <w:r w:rsidRPr="00C541EE">
        <w:rPr>
          <w:b w:val="0"/>
          <w:bCs/>
        </w:rPr>
        <w:t xml:space="preserve">Nesse movimento de desjudicialização, os Cartórios Extrajudiciais foram incumbidos a auxiliar o Poder Judiciário, uma vez que </w:t>
      </w:r>
      <w:r w:rsidR="001E0BF6">
        <w:rPr>
          <w:b w:val="0"/>
          <w:bCs/>
        </w:rPr>
        <w:t>o</w:t>
      </w:r>
      <w:r w:rsidRPr="00C541EE">
        <w:rPr>
          <w:b w:val="0"/>
          <w:bCs/>
        </w:rPr>
        <w:t xml:space="preserve">s Oficiais são agentes públicos, e </w:t>
      </w:r>
      <w:r w:rsidR="00F90CFF">
        <w:rPr>
          <w:b w:val="0"/>
          <w:bCs/>
        </w:rPr>
        <w:t>por consequência,</w:t>
      </w:r>
      <w:r w:rsidRPr="00C541EE">
        <w:rPr>
          <w:b w:val="0"/>
          <w:bCs/>
        </w:rPr>
        <w:t xml:space="preserve"> são agentes de confiança do Estado. </w:t>
      </w:r>
      <w:r w:rsidR="00770702">
        <w:rPr>
          <w:b w:val="0"/>
          <w:bCs/>
        </w:rPr>
        <w:t>Assim,</w:t>
      </w:r>
      <w:r w:rsidRPr="00C541EE">
        <w:rPr>
          <w:b w:val="0"/>
          <w:bCs/>
        </w:rPr>
        <w:t xml:space="preserve"> a eles foram conferidos novos atributos pela lei, a fim de auxiliarem </w:t>
      </w:r>
      <w:r w:rsidR="001E0BF6">
        <w:rPr>
          <w:b w:val="0"/>
          <w:bCs/>
        </w:rPr>
        <w:t>a</w:t>
      </w:r>
      <w:r w:rsidRPr="00C541EE">
        <w:rPr>
          <w:b w:val="0"/>
          <w:bCs/>
        </w:rPr>
        <w:t xml:space="preserve"> busca por uma justiça mais efetiva.</w:t>
      </w:r>
    </w:p>
    <w:p w14:paraId="3F5D9EB2" w14:textId="77777777" w:rsidR="001A0382" w:rsidRDefault="00D33AC3" w:rsidP="00C541EE">
      <w:pPr>
        <w:rPr>
          <w:b w:val="0"/>
          <w:bCs/>
        </w:rPr>
      </w:pPr>
      <w:r>
        <w:rPr>
          <w:b w:val="0"/>
          <w:bCs/>
        </w:rPr>
        <w:t xml:space="preserve">Em Portugal, </w:t>
      </w:r>
      <w:r w:rsidR="008152B5">
        <w:rPr>
          <w:b w:val="0"/>
          <w:bCs/>
        </w:rPr>
        <w:t xml:space="preserve">relativamente ao estabelecimento da paternidade, há que se distinguir os casos em que os filhos nasceram na constância do casamento dos que nasceram fora do matrimônio. </w:t>
      </w:r>
      <w:r w:rsidR="00CD5C7B">
        <w:rPr>
          <w:b w:val="0"/>
          <w:bCs/>
        </w:rPr>
        <w:t>Quanto àqueles que nasceram dentro do casamento, a paternidade é presumida por lei. E aos que nasceram fora do casamento</w:t>
      </w:r>
      <w:r w:rsidR="00E60738">
        <w:rPr>
          <w:b w:val="0"/>
          <w:bCs/>
        </w:rPr>
        <w:t>, a paternidade estabelece-se por reconhecimento, sendo que este pode ser feito por perfilhação, ou por decisão judicial em ação de investigação.</w:t>
      </w:r>
      <w:r w:rsidR="001A0382">
        <w:rPr>
          <w:b w:val="0"/>
          <w:bCs/>
        </w:rPr>
        <w:t xml:space="preserve"> </w:t>
      </w:r>
    </w:p>
    <w:p w14:paraId="059DF366" w14:textId="6216FC7C" w:rsidR="001A0382" w:rsidRDefault="001A0382" w:rsidP="001A0382">
      <w:pPr>
        <w:pStyle w:val="corpo"/>
      </w:pPr>
      <w:r>
        <w:t xml:space="preserve">A perfilhação é uma forma de reconhecimento voluntário de filho, nos casos em que o pai concorda em reconhecer a paternidade daquela criança. Já o reconhecimento judicial é uma ação, em que </w:t>
      </w:r>
      <w:r w:rsidR="00353A3E">
        <w:t>requer</w:t>
      </w:r>
      <w:r>
        <w:t xml:space="preserve"> </w:t>
      </w:r>
      <w:proofErr w:type="gramStart"/>
      <w:r>
        <w:t>do</w:t>
      </w:r>
      <w:proofErr w:type="gramEnd"/>
      <w:r>
        <w:t xml:space="preserve"> filho ingressar </w:t>
      </w:r>
      <w:r w:rsidR="00353A3E">
        <w:t>a</w:t>
      </w:r>
      <w:r>
        <w:t xml:space="preserve">o Poder Judiciário para </w:t>
      </w:r>
      <w:r w:rsidR="00071CFC">
        <w:t>solicitar</w:t>
      </w:r>
      <w:r>
        <w:t xml:space="preserve"> o reconhecimento de filiação do pretenso pai. A averiguação oficiosa, de outra forma, </w:t>
      </w:r>
      <w:r w:rsidR="00071CFC">
        <w:t xml:space="preserve">tem </w:t>
      </w:r>
      <w:r>
        <w:t xml:space="preserve">a finalidade de estabelecer a paternidade por uma dessas vias: perfilhação ou o reconhecimento judicial. Nesses termos, o estabelecimento da paternidade pode ocorrer de 3 modos: presunção de paternidade, perfilhação e o reconhecimento judicial da paternidade. </w:t>
      </w:r>
    </w:p>
    <w:p w14:paraId="178F56A4" w14:textId="77777777" w:rsidR="001A0382" w:rsidRDefault="001A0382" w:rsidP="001A0382">
      <w:pPr>
        <w:pStyle w:val="corpo"/>
      </w:pPr>
      <w:r>
        <w:t xml:space="preserve">Mais adiante, </w:t>
      </w:r>
      <w:r w:rsidR="009173E3">
        <w:t xml:space="preserve">foi feita uma </w:t>
      </w:r>
      <w:r>
        <w:t>abord</w:t>
      </w:r>
      <w:r w:rsidR="009173E3">
        <w:t>agem sobre os atributos</w:t>
      </w:r>
      <w:r>
        <w:t xml:space="preserve"> </w:t>
      </w:r>
      <w:r w:rsidR="009173E3">
        <w:t>d</w:t>
      </w:r>
      <w:r>
        <w:t>o</w:t>
      </w:r>
      <w:r w:rsidR="009173E3">
        <w:t xml:space="preserve"> ato de</w:t>
      </w:r>
      <w:r>
        <w:t xml:space="preserve"> reconhecimento voluntário de filho</w:t>
      </w:r>
      <w:r w:rsidR="009173E3">
        <w:t>.</w:t>
      </w:r>
      <w:r w:rsidR="00625919">
        <w:t xml:space="preserve"> Verificou-se que ele é um ato jurídico personalíssimo, formal, incondicional, irrevogável, renunciável e retroativo, que exige a manifestação de vontade, livre e consciente, por agente capaz.</w:t>
      </w:r>
    </w:p>
    <w:p w14:paraId="70FB8919" w14:textId="77777777" w:rsidR="00DE0B0A" w:rsidRDefault="00E26086" w:rsidP="001A0382">
      <w:pPr>
        <w:pStyle w:val="corpo"/>
      </w:pPr>
      <w:r>
        <w:t>Por fim, adentrou-se no tema principal do trabalho que se refere ao reconhecimento socioafetivo de filho.</w:t>
      </w:r>
      <w:r w:rsidR="00601E0F">
        <w:t xml:space="preserve"> </w:t>
      </w:r>
      <w:r w:rsidR="00C77DBA">
        <w:t>Abordou-se primeiramente o caso</w:t>
      </w:r>
      <w:r w:rsidR="00C43469">
        <w:t xml:space="preserve"> do Brasil, em que o movimento da desjudicialização alavancou os novos procedimentos realizáveis em âmbito administrativo</w:t>
      </w:r>
      <w:r w:rsidR="009A5C06">
        <w:t xml:space="preserve">. Os novos provimentos editados pelo Conselho Nacional de Justiça </w:t>
      </w:r>
      <w:r w:rsidR="00C43469">
        <w:t>simplific</w:t>
      </w:r>
      <w:r w:rsidR="009A5C06">
        <w:t>aram</w:t>
      </w:r>
      <w:r w:rsidR="00C43469">
        <w:t xml:space="preserve"> os procedimentos, </w:t>
      </w:r>
      <w:r w:rsidR="009A5C06">
        <w:t xml:space="preserve">principalmente de reconhecimento de filho biológico e socioafetivo, </w:t>
      </w:r>
      <w:r w:rsidR="00C43469">
        <w:t>que atualmente, não exigem a intervenção judicial, mas apenas a concordância de ambas as partes na realização do reconhecimento de paternidade.</w:t>
      </w:r>
    </w:p>
    <w:p w14:paraId="7CC774C5" w14:textId="77777777" w:rsidR="003D03D1" w:rsidRDefault="00C541EE" w:rsidP="003D03D1">
      <w:pPr>
        <w:pStyle w:val="corpo"/>
      </w:pPr>
      <w:r w:rsidRPr="00C541EE">
        <w:rPr>
          <w:bCs/>
        </w:rPr>
        <w:t xml:space="preserve">Estudou-se </w:t>
      </w:r>
      <w:r w:rsidR="00A9632C">
        <w:rPr>
          <w:bCs/>
        </w:rPr>
        <w:t>o Provimento n° 63/2017, do CNJ, que regulamentou o procedimento de reconhecimento socioafetivo de filho nos Cartórios Extrajudiciais</w:t>
      </w:r>
      <w:r w:rsidR="009A5C06">
        <w:rPr>
          <w:bCs/>
        </w:rPr>
        <w:t>.</w:t>
      </w:r>
      <w:r w:rsidR="003D03D1">
        <w:rPr>
          <w:b/>
          <w:bCs/>
        </w:rPr>
        <w:t xml:space="preserve"> </w:t>
      </w:r>
      <w:r w:rsidR="003D03D1">
        <w:t>A possibilidade do reconhecimento de filho socioafetivo diretamente no Oficial de Registro Civil das Pessoas Naturais engrandece o princípio da igualdade entre os filhos e valoriza as famílias construídas em torno do afeto. Isso também enaltece a verdade real, que deve ser compatibilizada com a verdade registral. Entretanto, sabe-se que a filiação socioafetiva ainda é um modelo novo de filiação, e por isso deve ser interpretada à luz dos novos princípios constitucionais que direcionam o Direito de Família.</w:t>
      </w:r>
    </w:p>
    <w:p w14:paraId="0AD7B0F7" w14:textId="5215D0AC" w:rsidR="003D03D1" w:rsidRDefault="003D03D1" w:rsidP="003D03D1">
      <w:pPr>
        <w:pStyle w:val="corpo"/>
      </w:pPr>
      <w:r>
        <w:t xml:space="preserve">Até meados do ano de 2017, nos casos de reconhecimento de </w:t>
      </w:r>
      <w:r w:rsidR="00431189">
        <w:t>paternidade,</w:t>
      </w:r>
      <w:r>
        <w:t xml:space="preserve"> ainda se faziam distinções entre os filhos, em razão de sua origem, o que se mostrava inconstitucional. Aos filhos socioafetivos, ao contrário do que ocorria com os filhos biológicos, era conferido o dispendioso e moroso caminho da via judicial para que pudessem ter sua paternidade estabelecida.</w:t>
      </w:r>
    </w:p>
    <w:p w14:paraId="0FACAFE7" w14:textId="4B55A924" w:rsidR="003D03D1" w:rsidRDefault="003D03D1" w:rsidP="003D03D1">
      <w:pPr>
        <w:pStyle w:val="corpo"/>
      </w:pPr>
      <w:r>
        <w:t>Nesses termos, verificando a inconstitucionalidade no tratamento diferenciado entre os filhos biológicos e socioafetivos, bem como a ampla aceitação doutrinária e jurisprudencial acerca da paternidade socioafetiva, o Conselho Nacional de Justiça, em novembro de 2017 editou o Provimento nº 63, que autoriza o reconhecimento de filho socioafetivo diretamente nos Registros Civis das Pessoas Naturais.</w:t>
      </w:r>
    </w:p>
    <w:p w14:paraId="6EE4DEEC" w14:textId="5AF707B4" w:rsidR="000B1CAC" w:rsidRDefault="00B52947" w:rsidP="003D03D1">
      <w:pPr>
        <w:pStyle w:val="corpo"/>
      </w:pPr>
      <w:r>
        <w:t>Em que pese não se possa fazer discriminações aos filhos, em razão de sua origem, é inegável que há diferença</w:t>
      </w:r>
      <w:r w:rsidR="008A5DAE">
        <w:t>s</w:t>
      </w:r>
      <w:r>
        <w:t xml:space="preserve"> no estabelecimento da </w:t>
      </w:r>
      <w:r w:rsidR="00FD5966">
        <w:t>paternidade</w:t>
      </w:r>
      <w:r w:rsidR="00684470">
        <w:t xml:space="preserve"> aos filhos biológicos e socioafetivos</w:t>
      </w:r>
      <w:r>
        <w:t>.</w:t>
      </w:r>
      <w:r w:rsidR="005B57E0">
        <w:t xml:space="preserve"> Nesses termos,</w:t>
      </w:r>
      <w:r w:rsidR="00306CE9">
        <w:t xml:space="preserve"> como o vínculo socioafetivo exigia uma análise diferenciada por parte do oficial registrador, o Provimento n° 63/2017, do CNJ sofreu alterações para que fosse alterado o procedimento administrativo, já que os requisitos não devem ser os mesmos </w:t>
      </w:r>
      <w:r w:rsidR="00FD5966">
        <w:t xml:space="preserve">que os do </w:t>
      </w:r>
      <w:r w:rsidR="00306CE9">
        <w:t>Provimento n° 16/</w:t>
      </w:r>
      <w:r w:rsidR="004A2506">
        <w:t>2012, CNJ</w:t>
      </w:r>
      <w:r w:rsidR="00EE6185">
        <w:t xml:space="preserve"> (reconhecimento dos filhos</w:t>
      </w:r>
      <w:r w:rsidR="00FD5966">
        <w:t xml:space="preserve"> biológicos</w:t>
      </w:r>
      <w:r w:rsidR="00EE6185">
        <w:t>)</w:t>
      </w:r>
      <w:r w:rsidR="00FD5966">
        <w:t>.</w:t>
      </w:r>
    </w:p>
    <w:p w14:paraId="5D48F1CD" w14:textId="636BC390" w:rsidR="000B1CAC" w:rsidRDefault="000B1CAC" w:rsidP="000B1CAC">
      <w:pPr>
        <w:pStyle w:val="corpo"/>
      </w:pPr>
      <w:r>
        <w:t>Buscou-se evitar a utilização do procedimento</w:t>
      </w:r>
      <w:r w:rsidR="00D64F30">
        <w:t xml:space="preserve"> previsto no Provimento n° 63/2017, do CNJ, a</w:t>
      </w:r>
      <w:r>
        <w:t xml:space="preserve">os casos em que não se enquadrassem </w:t>
      </w:r>
      <w:r w:rsidR="00A22A18">
        <w:t xml:space="preserve">em </w:t>
      </w:r>
      <w:r w:rsidR="00667972">
        <w:t>uma</w:t>
      </w:r>
      <w:r>
        <w:t xml:space="preserve"> </w:t>
      </w:r>
      <w:r w:rsidR="00667972">
        <w:t xml:space="preserve">relação </w:t>
      </w:r>
      <w:r>
        <w:t>socioafetiva, como os casos de adoção à brasileira. Houve o intuito de que as partes interessadas utilizassem os instrumentos adequados, a fim de se concretizar a verdadeira relação jurídica existente entre pai e filho. Importante ressaltar que o Provimento n° 63/2017, CNJ, antes da alteração, não limitava o reconhecimento socioafetivo apenas</w:t>
      </w:r>
      <w:r w:rsidR="00DE721A">
        <w:t xml:space="preserve"> aos filhos</w:t>
      </w:r>
      <w:r>
        <w:t xml:space="preserve"> </w:t>
      </w:r>
      <w:r w:rsidR="000773CE">
        <w:t>maiores de 12 anos</w:t>
      </w:r>
      <w:r>
        <w:t xml:space="preserve">, ou seja, </w:t>
      </w:r>
      <w:r w:rsidR="000773CE">
        <w:t>não fazia delimitação quanto à idade</w:t>
      </w:r>
      <w:r w:rsidR="00986B40">
        <w:t>, podendo ser utilizado por</w:t>
      </w:r>
      <w:r>
        <w:t xml:space="preserve"> menores e maiores de idade.  </w:t>
      </w:r>
    </w:p>
    <w:p w14:paraId="52713F3B" w14:textId="3CC08AD2" w:rsidR="000B1CAC" w:rsidRDefault="00D5427A" w:rsidP="000B1CAC">
      <w:pPr>
        <w:pStyle w:val="corpo"/>
      </w:pPr>
      <w:r>
        <w:t>H</w:t>
      </w:r>
      <w:r w:rsidR="000B1CAC">
        <w:t xml:space="preserve">ouve </w:t>
      </w:r>
      <w:r>
        <w:t xml:space="preserve">também </w:t>
      </w:r>
      <w:r w:rsidR="000B1CAC">
        <w:t>uma alteração no Provimento n° 63/2017</w:t>
      </w:r>
      <w:r>
        <w:t xml:space="preserve"> </w:t>
      </w:r>
      <w:r w:rsidR="000B1CAC">
        <w:t>para se incluir a necessidade de um conjunto probatório, a fim de se comprovar a existência da relação socioafetiva entre pai e filho. O mencionado provimento requer que a paternidade socioafetiva seja estável e exteriorizada socialmente. Exige-se que o registrador atest</w:t>
      </w:r>
      <w:r w:rsidR="00E4628E">
        <w:t>e</w:t>
      </w:r>
      <w:r w:rsidR="000B1CAC">
        <w:t xml:space="preserve"> a existência do vínculo afetivo da paternidade mediante apuração objetiva</w:t>
      </w:r>
      <w:r w:rsidR="001220D3">
        <w:t>,</w:t>
      </w:r>
      <w:r w:rsidR="000B1CAC">
        <w:t xml:space="preserve"> por intermédio da verificação de elementos concretos (art. 10-A, n° 1).           </w:t>
      </w:r>
    </w:p>
    <w:p w14:paraId="5D939AA4" w14:textId="77777777" w:rsidR="000B1CAC" w:rsidRDefault="000B1CAC" w:rsidP="000B1CAC">
      <w:pPr>
        <w:pStyle w:val="corpo"/>
      </w:pPr>
      <w:r>
        <w:t xml:space="preserve">Outra significativa mudança no procedimento foi a exigência de se encaminhar o expediente ao representante do ministério público para parecer, nos casos em que o filho a ser reconhecido for menor de idade. Assim, o registro da paternidade socioafetiva só poderá ser realizado pelo registrador após o parecer favorável do ministério público (art. 11, § 9, I). De outro modo, nos casos de filhos maiores a serem reconhecidos é inexigível o parecer do ministério público, nos termos da justificativa do Provimento n° 83/2019, em que preceitua a plena aplicação do reconhecimento extrajudicial da parentalidade de caráter socioafetivo para aqueles que possuem dezoito anos ou mais. </w:t>
      </w:r>
    </w:p>
    <w:p w14:paraId="02A0681D" w14:textId="725E6BFE" w:rsidR="00D5427A" w:rsidRDefault="00E17E19" w:rsidP="00D5427A">
      <w:pPr>
        <w:pStyle w:val="corpo"/>
      </w:pPr>
      <w:r>
        <w:t>Já em Portugal, a</w:t>
      </w:r>
      <w:r w:rsidR="00D5427A">
        <w:t xml:space="preserve">s </w:t>
      </w:r>
      <w:r>
        <w:t xml:space="preserve">suas </w:t>
      </w:r>
      <w:r w:rsidR="00D5427A">
        <w:t xml:space="preserve">linhas antecedentes demonstram que é um país </w:t>
      </w:r>
      <w:r w:rsidR="00ED54DC">
        <w:t>pautado</w:t>
      </w:r>
      <w:r w:rsidR="00D5427A">
        <w:t xml:space="preserve"> </w:t>
      </w:r>
      <w:r w:rsidR="00ED54DC">
        <w:t>n</w:t>
      </w:r>
      <w:r w:rsidR="00D5427A">
        <w:t xml:space="preserve">o sistema biologista, em que a filiação, em regra, resulta do fator biológico. Assim, o pai e a mãe jurídicos são o pai e a mãe biológicos. O direito de filiação português estabelece-se em torno do princípio da coincidência entre a verdade biológica e o vínculo de filiação. </w:t>
      </w:r>
    </w:p>
    <w:p w14:paraId="5EC6CE8A" w14:textId="23D7E119" w:rsidR="00D5427A" w:rsidRDefault="00D5427A" w:rsidP="00D5427A">
      <w:pPr>
        <w:pStyle w:val="corpo"/>
      </w:pPr>
      <w:r>
        <w:t>No entanto, Portugal passa por mudanças socioculturais</w:t>
      </w:r>
      <w:r w:rsidR="00ED7AA0">
        <w:t>. A</w:t>
      </w:r>
      <w:r>
        <w:t>bre-se espaço às famílias que não se baseiam estritamente nos laços de sangue. Verifica-se que o critério socioafetivo aparece para competir com o critério sanguíneo, na formação familiar e, nesses termos, a tutela da afetividade passa a figurar implícita ou explicitamente na lei portuguesa.</w:t>
      </w:r>
    </w:p>
    <w:p w14:paraId="0BEE7235" w14:textId="77777777" w:rsidR="00D5427A" w:rsidRDefault="00D5427A" w:rsidP="00D5427A">
      <w:pPr>
        <w:pStyle w:val="corpo"/>
        <w:rPr>
          <w:szCs w:val="24"/>
        </w:rPr>
      </w:pPr>
      <w:r>
        <w:rPr>
          <w:szCs w:val="24"/>
        </w:rPr>
        <w:t>Especificamente em relação à paternidade e maternidade socioafetivas, em Portugal surgiram institutos semelhantes, que são os obtidos através da atribuição das responsabilidades parentais. Estes são efetivados pelos institutos da confiança a terceira pessoa (artigo 1907</w:t>
      </w:r>
      <w:r>
        <w:t xml:space="preserve">° do CC), apadrinhamento civil (Lei n° 103/09), e a confiança em vista de adoção. São institutos semelhantes à paternidade e maternidade socioafetiva, pois o vínculo que une a criança aos responsáveis nomeados judicialmente é o afeto. Ademais, a esses responsáveis é conferida certas responsabilidades exigidas apenas dos pais da criança. </w:t>
      </w:r>
      <w:r>
        <w:rPr>
          <w:szCs w:val="24"/>
        </w:rPr>
        <w:t xml:space="preserve"> </w:t>
      </w:r>
    </w:p>
    <w:p w14:paraId="55A01F36" w14:textId="2E5C17D3" w:rsidR="00FE0C11" w:rsidRDefault="00FE0C11" w:rsidP="00FE0C11">
      <w:pPr>
        <w:pStyle w:val="corpo"/>
      </w:pPr>
      <w:r>
        <w:t xml:space="preserve">Em que pese a ausência de legislação em Portugal que autorize o estabelecimento de uma paternidade </w:t>
      </w:r>
      <w:r w:rsidR="00C56ECC">
        <w:t>socioafetiva</w:t>
      </w:r>
      <w:r>
        <w:t xml:space="preserve"> notam-se várias mutações socioculturais que demonstram a intenção de ampliar o critério de determinação da parentalidade, a fim de se incluir o critério do afeto</w:t>
      </w:r>
      <w:r w:rsidR="00C37893">
        <w:t xml:space="preserve"> na fixação</w:t>
      </w:r>
      <w:r>
        <w:t xml:space="preserve"> </w:t>
      </w:r>
      <w:r w:rsidR="00C37893">
        <w:t>d</w:t>
      </w:r>
      <w:r>
        <w:t xml:space="preserve">a paternidade </w:t>
      </w:r>
      <w:r w:rsidR="00C37893">
        <w:t xml:space="preserve">aos </w:t>
      </w:r>
      <w:r>
        <w:t>que se vinculam apenas pelo laço do amor.</w:t>
      </w:r>
    </w:p>
    <w:p w14:paraId="7ADA5127" w14:textId="77777777" w:rsidR="00FE0C11" w:rsidRDefault="00FE0C11" w:rsidP="00FE0C11">
      <w:pPr>
        <w:pStyle w:val="corpo"/>
      </w:pPr>
      <w:r>
        <w:t>No que tange à jurisprudência portuguesa, não obstante o critério biológico ainda seja o preponderante para a fixação da parentalidade, vislumbra-se uma mudança de paradigma, em que a socioafetividade é vista como um critério possível de determinação das relações familiares, em função da relevância da segurança e da estabilidade das famílias.</w:t>
      </w:r>
    </w:p>
    <w:p w14:paraId="24682CA5" w14:textId="77777777" w:rsidR="00FE0C11" w:rsidRDefault="00FE0C11" w:rsidP="00FE0C11">
      <w:pPr>
        <w:pStyle w:val="corpo"/>
      </w:pPr>
      <w:r>
        <w:t>Outra manifestação da mudança de paradigma em Portugal consiste na Petição n° 451/XIII/3ª, em que solicita a edição de uma lei sobre a parentalidade socioafetiva perante a Assembleia da República Portuguesa.</w:t>
      </w:r>
    </w:p>
    <w:p w14:paraId="4B8589F0" w14:textId="3B8B5C7E" w:rsidR="00FE0C11" w:rsidRDefault="00FE0C11" w:rsidP="00FE0C11">
      <w:pPr>
        <w:pStyle w:val="corpo"/>
        <w:rPr>
          <w:szCs w:val="24"/>
        </w:rPr>
      </w:pPr>
      <w:r>
        <w:t xml:space="preserve">Portanto, </w:t>
      </w:r>
      <w:r w:rsidR="00A337BB">
        <w:t xml:space="preserve">após a análise do panorama da socioafetividade no Brasil e em Portugal, podemos verificar que o Brasil </w:t>
      </w:r>
      <w:r w:rsidR="006C6824">
        <w:t>deu</w:t>
      </w:r>
      <w:r w:rsidR="00A337BB">
        <w:t xml:space="preserve"> um passo</w:t>
      </w:r>
      <w:r w:rsidR="00057BBC">
        <w:t xml:space="preserve"> à frente quando possibilitou o reconhecimento socioafetivo de filhos</w:t>
      </w:r>
      <w:r w:rsidR="00C56ECC">
        <w:t>, tanto na via judicial quanto na extrajudicial</w:t>
      </w:r>
      <w:r w:rsidR="00A337BB">
        <w:t>.</w:t>
      </w:r>
      <w:r w:rsidR="004775A6">
        <w:t xml:space="preserve"> Entretanto, Portugal</w:t>
      </w:r>
      <w:r w:rsidR="007F6D0C">
        <w:t xml:space="preserve"> segue </w:t>
      </w:r>
      <w:r w:rsidR="004775A6">
        <w:t>a mesma direção que o Brasil</w:t>
      </w:r>
      <w:r w:rsidR="00262020">
        <w:t xml:space="preserve"> dando os primeiros passos para se conferir proteção legal às famílias socioafetivas.</w:t>
      </w:r>
      <w:r w:rsidR="007F6D0C">
        <w:t xml:space="preserve">  </w:t>
      </w:r>
      <w:r w:rsidR="004775A6">
        <w:t xml:space="preserve"> </w:t>
      </w:r>
    </w:p>
    <w:p w14:paraId="5D09876A" w14:textId="77777777" w:rsidR="00D5427A" w:rsidRDefault="00D5427A" w:rsidP="000B1CAC">
      <w:pPr>
        <w:pStyle w:val="corpo"/>
      </w:pPr>
    </w:p>
    <w:p w14:paraId="519CD56F" w14:textId="77777777" w:rsidR="004B07D3" w:rsidRPr="004B07D3" w:rsidRDefault="004B07D3" w:rsidP="004B07D3">
      <w:pPr>
        <w:spacing w:line="240" w:lineRule="auto"/>
        <w:rPr>
          <w:rFonts w:cs="Times New Roman"/>
          <w:b w:val="0"/>
          <w:color w:val="000000" w:themeColor="text1"/>
        </w:rPr>
      </w:pPr>
      <w:r w:rsidRPr="004B07D3">
        <w:rPr>
          <w:rFonts w:cs="Times New Roman"/>
          <w:b w:val="0"/>
          <w:color w:val="000000" w:themeColor="text1"/>
        </w:rPr>
        <w:br w:type="page"/>
      </w:r>
    </w:p>
    <w:p w14:paraId="08B4DAB2" w14:textId="77777777" w:rsidR="004B07D3" w:rsidRDefault="00807575" w:rsidP="004B07D3">
      <w:pPr>
        <w:pStyle w:val="Ttulo1"/>
        <w:numPr>
          <w:ilvl w:val="0"/>
          <w:numId w:val="0"/>
        </w:numPr>
        <w:rPr>
          <w:szCs w:val="24"/>
        </w:rPr>
      </w:pPr>
      <w:bookmarkStart w:id="76" w:name="_Toc28034669"/>
      <w:r>
        <w:rPr>
          <w:szCs w:val="24"/>
        </w:rPr>
        <w:t>REFERÊNCIAS BIBLIOGRÁFICAS</w:t>
      </w:r>
      <w:bookmarkEnd w:id="76"/>
    </w:p>
    <w:p w14:paraId="1D368A33" w14:textId="77777777" w:rsidR="00562AFB" w:rsidRDefault="00562AFB" w:rsidP="00562AFB"/>
    <w:p w14:paraId="507D00CF" w14:textId="77777777" w:rsidR="009A7036" w:rsidRPr="000B194E" w:rsidRDefault="009A7036" w:rsidP="00FC165D">
      <w:pPr>
        <w:spacing w:line="240" w:lineRule="auto"/>
        <w:ind w:left="284" w:hanging="284"/>
        <w:rPr>
          <w:rFonts w:cs="Times New Roman"/>
          <w:b w:val="0"/>
        </w:rPr>
      </w:pPr>
      <w:r>
        <w:rPr>
          <w:rFonts w:cs="Times New Roman"/>
          <w:b w:val="0"/>
        </w:rPr>
        <w:t xml:space="preserve">ALMEIDA, Suzana; ASSIS, </w:t>
      </w:r>
      <w:proofErr w:type="spellStart"/>
      <w:r>
        <w:rPr>
          <w:rFonts w:cs="Times New Roman"/>
          <w:b w:val="0"/>
        </w:rPr>
        <w:t>Zamira</w:t>
      </w:r>
      <w:proofErr w:type="spellEnd"/>
      <w:r>
        <w:rPr>
          <w:rFonts w:cs="Times New Roman"/>
          <w:b w:val="0"/>
        </w:rPr>
        <w:t xml:space="preserve"> de – </w:t>
      </w:r>
      <w:r w:rsidRPr="009A7036">
        <w:rPr>
          <w:rFonts w:cs="Times New Roman"/>
          <w:bCs/>
        </w:rPr>
        <w:t xml:space="preserve">Parentalidade </w:t>
      </w:r>
      <w:proofErr w:type="spellStart"/>
      <w:r w:rsidRPr="009A7036">
        <w:rPr>
          <w:rFonts w:cs="Times New Roman"/>
          <w:bCs/>
        </w:rPr>
        <w:t>sócio-afectiva</w:t>
      </w:r>
      <w:proofErr w:type="spellEnd"/>
      <w:r w:rsidRPr="009A7036">
        <w:rPr>
          <w:rFonts w:cs="Times New Roman"/>
          <w:bCs/>
        </w:rPr>
        <w:t>: Portugal e Brasil</w:t>
      </w:r>
      <w:r>
        <w:rPr>
          <w:rFonts w:cs="Times New Roman"/>
          <w:b w:val="0"/>
        </w:rPr>
        <w:t>. Coimbra: Editora Almedina, 2012. ISBN 978-972-40-4539-9.</w:t>
      </w:r>
    </w:p>
    <w:p w14:paraId="6694ECF9" w14:textId="77777777" w:rsidR="000B194E" w:rsidRPr="000B194E" w:rsidRDefault="000B194E" w:rsidP="00FC165D">
      <w:pPr>
        <w:spacing w:line="240" w:lineRule="auto"/>
        <w:ind w:left="284" w:hanging="284"/>
        <w:rPr>
          <w:rFonts w:cs="Times New Roman"/>
          <w:b w:val="0"/>
        </w:rPr>
      </w:pPr>
    </w:p>
    <w:p w14:paraId="5805AC95" w14:textId="77777777" w:rsidR="00FB2CAD" w:rsidRPr="000B194E" w:rsidRDefault="00FB2CAD" w:rsidP="00FC165D">
      <w:pPr>
        <w:spacing w:line="240" w:lineRule="auto"/>
        <w:ind w:left="284" w:hanging="284"/>
        <w:rPr>
          <w:rFonts w:cs="Times New Roman"/>
          <w:b w:val="0"/>
        </w:rPr>
      </w:pPr>
      <w:r>
        <w:rPr>
          <w:rFonts w:cs="Times New Roman"/>
          <w:b w:val="0"/>
        </w:rPr>
        <w:t xml:space="preserve">AMARAL, Jorge Augusto Pais de – </w:t>
      </w:r>
      <w:r w:rsidRPr="0029250D">
        <w:rPr>
          <w:rFonts w:cs="Times New Roman"/>
          <w:bCs/>
        </w:rPr>
        <w:t>Direito da Família e das Sucessões.</w:t>
      </w:r>
      <w:r>
        <w:rPr>
          <w:rFonts w:cs="Times New Roman"/>
          <w:b w:val="0"/>
        </w:rPr>
        <w:t xml:space="preserve"> Coimbra: Almedina, 2016. ISBN 978-972-40-6742-1.</w:t>
      </w:r>
    </w:p>
    <w:p w14:paraId="6CBAC65E" w14:textId="77777777" w:rsidR="000B194E" w:rsidRPr="000B194E" w:rsidRDefault="000B194E" w:rsidP="00FC165D">
      <w:pPr>
        <w:spacing w:line="240" w:lineRule="auto"/>
        <w:ind w:left="284" w:hanging="284"/>
        <w:rPr>
          <w:rFonts w:cs="Times New Roman"/>
          <w:b w:val="0"/>
        </w:rPr>
      </w:pPr>
    </w:p>
    <w:p w14:paraId="227006BA" w14:textId="77777777" w:rsidR="009B4F1F" w:rsidRDefault="009B4F1F" w:rsidP="00FC165D">
      <w:pPr>
        <w:spacing w:line="240" w:lineRule="auto"/>
        <w:ind w:left="284" w:hanging="284"/>
        <w:rPr>
          <w:rFonts w:cs="Times New Roman"/>
          <w:b w:val="0"/>
          <w:color w:val="333333"/>
          <w:shd w:val="clear" w:color="auto" w:fill="FFFFFF"/>
        </w:rPr>
      </w:pPr>
      <w:r w:rsidRPr="003A4CC0">
        <w:rPr>
          <w:b w:val="0"/>
          <w:bCs/>
        </w:rPr>
        <w:t xml:space="preserve">ASCENÇÃO, José de Oliveira – A dignidade da pessoa e o fundamento dos direitos humanos. </w:t>
      </w:r>
      <w:r w:rsidRPr="00E16D21">
        <w:t>Revista da Ordem dos Advogados</w:t>
      </w:r>
      <w:r w:rsidRPr="003A4CC0">
        <w:rPr>
          <w:b w:val="0"/>
          <w:bCs/>
        </w:rPr>
        <w:t>, ano 68, Vol. I, 2008</w:t>
      </w:r>
      <w:r>
        <w:rPr>
          <w:b w:val="0"/>
          <w:bCs/>
        </w:rPr>
        <w:t>.</w:t>
      </w:r>
    </w:p>
    <w:p w14:paraId="3EBEE16A" w14:textId="77777777" w:rsidR="001313B1" w:rsidRDefault="001313B1" w:rsidP="00FC165D">
      <w:pPr>
        <w:spacing w:line="240" w:lineRule="auto"/>
        <w:ind w:left="284" w:hanging="284"/>
        <w:rPr>
          <w:rFonts w:cs="Times New Roman"/>
          <w:b w:val="0"/>
          <w:color w:val="333333"/>
          <w:shd w:val="clear" w:color="auto" w:fill="FFFFFF"/>
        </w:rPr>
      </w:pPr>
    </w:p>
    <w:p w14:paraId="3BDA832A" w14:textId="77777777" w:rsidR="001313B1" w:rsidRDefault="001313B1" w:rsidP="00FC165D">
      <w:pPr>
        <w:spacing w:line="240" w:lineRule="auto"/>
        <w:ind w:left="284" w:hanging="284"/>
        <w:rPr>
          <w:rFonts w:cs="Times New Roman"/>
          <w:b w:val="0"/>
          <w:color w:val="333333"/>
          <w:shd w:val="clear" w:color="auto" w:fill="FFFFFF"/>
        </w:rPr>
      </w:pPr>
      <w:r>
        <w:rPr>
          <w:rFonts w:cs="Times New Roman"/>
          <w:b w:val="0"/>
          <w:color w:val="333333"/>
          <w:shd w:val="clear" w:color="auto" w:fill="FFFFFF"/>
        </w:rPr>
        <w:t xml:space="preserve">BALEEIRO, </w:t>
      </w:r>
      <w:proofErr w:type="spellStart"/>
      <w:r>
        <w:rPr>
          <w:rFonts w:cs="Times New Roman"/>
          <w:b w:val="0"/>
          <w:color w:val="333333"/>
          <w:shd w:val="clear" w:color="auto" w:fill="FFFFFF"/>
        </w:rPr>
        <w:t>Aliomar</w:t>
      </w:r>
      <w:proofErr w:type="spellEnd"/>
      <w:r>
        <w:rPr>
          <w:rFonts w:cs="Times New Roman"/>
          <w:b w:val="0"/>
          <w:color w:val="333333"/>
          <w:shd w:val="clear" w:color="auto" w:fill="FFFFFF"/>
        </w:rPr>
        <w:t xml:space="preserve"> – </w:t>
      </w:r>
      <w:r w:rsidRPr="001313B1">
        <w:rPr>
          <w:rFonts w:cs="Times New Roman"/>
          <w:bCs/>
          <w:color w:val="333333"/>
          <w:shd w:val="clear" w:color="auto" w:fill="FFFFFF"/>
        </w:rPr>
        <w:t>Direito Tributário brasileiro.</w:t>
      </w:r>
      <w:r>
        <w:rPr>
          <w:rFonts w:cs="Times New Roman"/>
          <w:b w:val="0"/>
          <w:color w:val="333333"/>
          <w:shd w:val="clear" w:color="auto" w:fill="FFFFFF"/>
        </w:rPr>
        <w:t xml:space="preserve"> 12ª edição. Rio de Janeiro: Forense, 2013.</w:t>
      </w:r>
    </w:p>
    <w:p w14:paraId="48E6AC10" w14:textId="77777777" w:rsidR="007D41BE" w:rsidRDefault="007D41BE" w:rsidP="00FC165D">
      <w:pPr>
        <w:spacing w:line="240" w:lineRule="auto"/>
        <w:ind w:left="284" w:hanging="284"/>
        <w:rPr>
          <w:rFonts w:cs="Times New Roman"/>
          <w:b w:val="0"/>
          <w:color w:val="333333"/>
          <w:shd w:val="clear" w:color="auto" w:fill="FFFFFF"/>
        </w:rPr>
      </w:pPr>
    </w:p>
    <w:p w14:paraId="5463B86E" w14:textId="77777777" w:rsidR="00D95513" w:rsidRDefault="00D95513" w:rsidP="00FC165D">
      <w:pPr>
        <w:spacing w:line="240" w:lineRule="auto"/>
        <w:ind w:left="284" w:hanging="284"/>
        <w:rPr>
          <w:rFonts w:cs="Times New Roman"/>
          <w:b w:val="0"/>
          <w:color w:val="333333"/>
          <w:shd w:val="clear" w:color="auto" w:fill="FFFFFF"/>
        </w:rPr>
      </w:pPr>
      <w:r>
        <w:rPr>
          <w:rFonts w:cs="Times New Roman"/>
          <w:b w:val="0"/>
          <w:color w:val="333333"/>
          <w:shd w:val="clear" w:color="auto" w:fill="FFFFFF"/>
        </w:rPr>
        <w:t xml:space="preserve">BARBOZA, Heloisa Helena - </w:t>
      </w:r>
      <w:r w:rsidRPr="00D95513">
        <w:rPr>
          <w:rFonts w:cs="Times New Roman"/>
          <w:bCs/>
          <w:color w:val="333333"/>
          <w:shd w:val="clear" w:color="auto" w:fill="FFFFFF"/>
        </w:rPr>
        <w:t>A filiação em face da inseminação artificial e a fertilização “in vitro”</w:t>
      </w:r>
      <w:r>
        <w:rPr>
          <w:rFonts w:cs="Times New Roman"/>
          <w:b w:val="0"/>
          <w:color w:val="333333"/>
          <w:shd w:val="clear" w:color="auto" w:fill="FFFFFF"/>
        </w:rPr>
        <w:t>. Rio de Janeiro: Renovar, 1993.</w:t>
      </w:r>
    </w:p>
    <w:p w14:paraId="10A72CE7" w14:textId="77777777" w:rsidR="00D95513" w:rsidRDefault="00D95513" w:rsidP="00FC165D">
      <w:pPr>
        <w:spacing w:line="240" w:lineRule="auto"/>
        <w:ind w:left="284" w:hanging="284"/>
        <w:rPr>
          <w:rFonts w:cs="Times New Roman"/>
          <w:b w:val="0"/>
          <w:color w:val="333333"/>
          <w:shd w:val="clear" w:color="auto" w:fill="FFFFFF"/>
        </w:rPr>
      </w:pPr>
    </w:p>
    <w:p w14:paraId="787264B1" w14:textId="77777777" w:rsidR="007D41BE" w:rsidRPr="000B194E" w:rsidRDefault="00D95513" w:rsidP="007D41BE">
      <w:pPr>
        <w:spacing w:line="240" w:lineRule="auto"/>
        <w:ind w:left="284" w:hanging="284"/>
        <w:rPr>
          <w:rFonts w:cs="Times New Roman"/>
          <w:b w:val="0"/>
        </w:rPr>
      </w:pPr>
      <w:r>
        <w:rPr>
          <w:rFonts w:cs="Times New Roman"/>
          <w:b w:val="0"/>
          <w:color w:val="333333"/>
          <w:shd w:val="clear" w:color="auto" w:fill="FFFFFF"/>
        </w:rPr>
        <w:t>______</w:t>
      </w:r>
      <w:r w:rsidR="007D41BE">
        <w:rPr>
          <w:rFonts w:cs="Times New Roman"/>
          <w:b w:val="0"/>
          <w:color w:val="333333"/>
          <w:shd w:val="clear" w:color="auto" w:fill="FFFFFF"/>
        </w:rPr>
        <w:t xml:space="preserve"> – Efeitos jurídicos do parentesco socioafetivo. </w:t>
      </w:r>
      <w:r w:rsidR="007D41BE" w:rsidRPr="00DA1B19">
        <w:rPr>
          <w:rFonts w:cs="Times New Roman"/>
          <w:bCs/>
        </w:rPr>
        <w:t>Revista Brasileira de Direito das Famílias e Sucessões</w:t>
      </w:r>
      <w:r w:rsidR="007D41BE">
        <w:rPr>
          <w:rFonts w:cs="Times New Roman"/>
          <w:b w:val="0"/>
        </w:rPr>
        <w:t xml:space="preserve">. Porto Alegre Editora Magister, volume 7, n° 9 (01 </w:t>
      </w:r>
      <w:proofErr w:type="spellStart"/>
      <w:r w:rsidR="007D41BE">
        <w:rPr>
          <w:rFonts w:cs="Times New Roman"/>
          <w:b w:val="0"/>
        </w:rPr>
        <w:t>abr</w:t>
      </w:r>
      <w:proofErr w:type="spellEnd"/>
      <w:r w:rsidR="007D41BE">
        <w:rPr>
          <w:rFonts w:cs="Times New Roman"/>
          <w:b w:val="0"/>
        </w:rPr>
        <w:t>/maio 2009).</w:t>
      </w:r>
    </w:p>
    <w:p w14:paraId="578DE524" w14:textId="77777777" w:rsidR="007D41BE" w:rsidRPr="000B194E" w:rsidRDefault="007D41BE" w:rsidP="00FC165D">
      <w:pPr>
        <w:spacing w:line="240" w:lineRule="auto"/>
        <w:ind w:left="284" w:hanging="284"/>
        <w:rPr>
          <w:rFonts w:cs="Times New Roman"/>
          <w:b w:val="0"/>
          <w:color w:val="333333"/>
          <w:shd w:val="clear" w:color="auto" w:fill="FFFFFF"/>
        </w:rPr>
      </w:pPr>
    </w:p>
    <w:p w14:paraId="799C863E" w14:textId="77777777" w:rsidR="00E53B5B" w:rsidRDefault="00E53B5B" w:rsidP="00FC165D">
      <w:pPr>
        <w:spacing w:line="240" w:lineRule="auto"/>
        <w:ind w:left="284" w:hanging="284"/>
        <w:rPr>
          <w:rFonts w:cs="Times New Roman"/>
          <w:b w:val="0"/>
        </w:rPr>
      </w:pPr>
      <w:r>
        <w:rPr>
          <w:rFonts w:cs="Times New Roman"/>
          <w:b w:val="0"/>
        </w:rPr>
        <w:t xml:space="preserve">BARROSO, Luís Roberto – </w:t>
      </w:r>
      <w:r w:rsidRPr="00894A19">
        <w:rPr>
          <w:rFonts w:cs="Times New Roman"/>
          <w:bCs/>
        </w:rPr>
        <w:t>A dignidade da pessoa humana ao direito constitucional contemporâneo</w:t>
      </w:r>
      <w:r w:rsidR="00894A19" w:rsidRPr="00894A19">
        <w:rPr>
          <w:rFonts w:cs="Times New Roman"/>
          <w:bCs/>
        </w:rPr>
        <w:t>: a construção de um conceito jurídico à luz da jurisprudência mundial.</w:t>
      </w:r>
      <w:r w:rsidR="00894A19">
        <w:rPr>
          <w:rFonts w:cs="Times New Roman"/>
          <w:b w:val="0"/>
        </w:rPr>
        <w:t xml:space="preserve"> Belo Horizonte: Fórum, 2014.</w:t>
      </w:r>
    </w:p>
    <w:p w14:paraId="04D6F582" w14:textId="77777777" w:rsidR="00894A19" w:rsidRPr="000B194E" w:rsidRDefault="00894A19" w:rsidP="00FC165D">
      <w:pPr>
        <w:spacing w:line="240" w:lineRule="auto"/>
        <w:ind w:left="284" w:hanging="284"/>
        <w:rPr>
          <w:rFonts w:cs="Times New Roman"/>
          <w:b w:val="0"/>
        </w:rPr>
      </w:pPr>
    </w:p>
    <w:p w14:paraId="0C2DEE84" w14:textId="77777777" w:rsidR="000B194E" w:rsidRPr="000B194E" w:rsidRDefault="000B194E" w:rsidP="00FC165D">
      <w:pPr>
        <w:pStyle w:val="Textodenotaderodap"/>
        <w:spacing w:line="240" w:lineRule="auto"/>
        <w:ind w:left="284" w:hanging="284"/>
        <w:rPr>
          <w:rFonts w:cs="Times New Roman"/>
          <w:b w:val="0"/>
          <w:sz w:val="24"/>
          <w:szCs w:val="24"/>
        </w:rPr>
      </w:pPr>
      <w:r w:rsidRPr="000B194E">
        <w:rPr>
          <w:rFonts w:cs="Times New Roman"/>
          <w:b w:val="0"/>
          <w:sz w:val="24"/>
          <w:szCs w:val="24"/>
        </w:rPr>
        <w:t xml:space="preserve">BEVILÁQUA, Clóvis - </w:t>
      </w:r>
      <w:r w:rsidRPr="000B194E">
        <w:rPr>
          <w:rFonts w:cs="Times New Roman"/>
          <w:sz w:val="24"/>
          <w:szCs w:val="24"/>
        </w:rPr>
        <w:t xml:space="preserve">Código Civil dos Estados Unidos do Brasil comentado. </w:t>
      </w:r>
      <w:r w:rsidRPr="000B194E">
        <w:rPr>
          <w:rFonts w:cs="Times New Roman"/>
          <w:b w:val="0"/>
          <w:sz w:val="24"/>
          <w:szCs w:val="24"/>
        </w:rPr>
        <w:t>Rio de Janeiro: Francisco Alves, 1953.</w:t>
      </w:r>
    </w:p>
    <w:p w14:paraId="592407AE" w14:textId="77777777" w:rsidR="000B194E" w:rsidRPr="000B194E" w:rsidRDefault="000B194E" w:rsidP="00FC165D">
      <w:pPr>
        <w:spacing w:line="240" w:lineRule="auto"/>
        <w:ind w:left="284" w:hanging="284"/>
        <w:rPr>
          <w:rFonts w:cs="Times New Roman"/>
          <w:b w:val="0"/>
        </w:rPr>
      </w:pPr>
    </w:p>
    <w:p w14:paraId="56479439" w14:textId="77777777" w:rsidR="000B194E" w:rsidRPr="000B194E" w:rsidRDefault="000B194E" w:rsidP="00FC165D">
      <w:pPr>
        <w:spacing w:line="240" w:lineRule="auto"/>
        <w:ind w:left="284" w:hanging="284"/>
        <w:rPr>
          <w:rFonts w:cs="Times New Roman"/>
          <w:b w:val="0"/>
        </w:rPr>
      </w:pPr>
      <w:r w:rsidRPr="000B194E">
        <w:rPr>
          <w:rFonts w:cs="Times New Roman"/>
          <w:b w:val="0"/>
        </w:rPr>
        <w:t xml:space="preserve">BOBBIO, Norberto - </w:t>
      </w:r>
      <w:r w:rsidRPr="000B194E">
        <w:rPr>
          <w:rFonts w:cs="Times New Roman"/>
        </w:rPr>
        <w:t>A era dos direitos</w:t>
      </w:r>
      <w:r w:rsidRPr="000B194E">
        <w:rPr>
          <w:rFonts w:cs="Times New Roman"/>
          <w:b w:val="0"/>
        </w:rPr>
        <w:t>. Rio de Janeiro: Campus, 1992.</w:t>
      </w:r>
    </w:p>
    <w:p w14:paraId="130E2BC5" w14:textId="77777777" w:rsidR="000B194E" w:rsidRPr="000B194E" w:rsidRDefault="000B194E" w:rsidP="00FC165D">
      <w:pPr>
        <w:tabs>
          <w:tab w:val="left" w:pos="2729"/>
        </w:tabs>
        <w:spacing w:line="240" w:lineRule="auto"/>
        <w:ind w:left="284" w:hanging="284"/>
        <w:rPr>
          <w:rFonts w:cs="Times New Roman"/>
          <w:b w:val="0"/>
        </w:rPr>
      </w:pPr>
      <w:r w:rsidRPr="000B194E">
        <w:rPr>
          <w:rFonts w:cs="Times New Roman"/>
          <w:b w:val="0"/>
        </w:rPr>
        <w:tab/>
      </w:r>
      <w:r w:rsidRPr="000B194E">
        <w:rPr>
          <w:rFonts w:cs="Times New Roman"/>
          <w:b w:val="0"/>
        </w:rPr>
        <w:tab/>
      </w:r>
    </w:p>
    <w:p w14:paraId="4E56DF0E" w14:textId="77777777" w:rsidR="009D68C1" w:rsidRPr="000B194E" w:rsidRDefault="00771B7C" w:rsidP="00FC165D">
      <w:pPr>
        <w:spacing w:line="240" w:lineRule="auto"/>
        <w:ind w:left="284" w:hanging="284"/>
        <w:rPr>
          <w:rFonts w:cs="Times New Roman"/>
          <w:b w:val="0"/>
        </w:rPr>
      </w:pPr>
      <w:r>
        <w:rPr>
          <w:rFonts w:cs="Times New Roman"/>
          <w:b w:val="0"/>
        </w:rPr>
        <w:t xml:space="preserve">BOEIRA, José Bernardo Ramos – </w:t>
      </w:r>
      <w:r w:rsidRPr="00A567F3">
        <w:rPr>
          <w:rFonts w:cs="Times New Roman"/>
          <w:bCs/>
        </w:rPr>
        <w:t>Investigação de paternidade</w:t>
      </w:r>
      <w:r w:rsidR="00703395" w:rsidRPr="00A567F3">
        <w:rPr>
          <w:rFonts w:cs="Times New Roman"/>
          <w:bCs/>
        </w:rPr>
        <w:t xml:space="preserve">: </w:t>
      </w:r>
      <w:r w:rsidR="00EC6BB2" w:rsidRPr="00A567F3">
        <w:rPr>
          <w:rFonts w:cs="Times New Roman"/>
          <w:bCs/>
        </w:rPr>
        <w:t>posse de estado de filho.</w:t>
      </w:r>
      <w:r w:rsidR="00EC6BB2">
        <w:rPr>
          <w:rFonts w:cs="Times New Roman"/>
          <w:b w:val="0"/>
        </w:rPr>
        <w:t xml:space="preserve"> Porto Alegre: Livraria do Advogado, 1999.</w:t>
      </w:r>
    </w:p>
    <w:p w14:paraId="75B7E9DC" w14:textId="77777777" w:rsidR="000B194E" w:rsidRDefault="000B194E" w:rsidP="00FC165D">
      <w:pPr>
        <w:pStyle w:val="Textodenotaderodap"/>
        <w:spacing w:line="240" w:lineRule="auto"/>
        <w:ind w:left="284" w:hanging="284"/>
        <w:rPr>
          <w:rFonts w:cs="Times New Roman"/>
          <w:b w:val="0"/>
          <w:sz w:val="24"/>
          <w:szCs w:val="24"/>
        </w:rPr>
      </w:pPr>
    </w:p>
    <w:p w14:paraId="4056E9AE" w14:textId="77777777" w:rsidR="0033549E" w:rsidRPr="00F64802" w:rsidRDefault="0033549E" w:rsidP="00FC165D">
      <w:pPr>
        <w:spacing w:line="240" w:lineRule="auto"/>
        <w:ind w:left="284" w:hanging="284"/>
        <w:rPr>
          <w:rFonts w:cs="Times New Roman"/>
          <w:b w:val="0"/>
        </w:rPr>
      </w:pPr>
      <w:r>
        <w:rPr>
          <w:rFonts w:cs="Times New Roman"/>
          <w:b w:val="0"/>
        </w:rPr>
        <w:t xml:space="preserve">BRAUNER, Maria Claudia Crespo – </w:t>
      </w:r>
      <w:r w:rsidRPr="0033549E">
        <w:rPr>
          <w:rFonts w:cs="Times New Roman"/>
          <w:bCs/>
        </w:rPr>
        <w:t>Direito, sexualidade e reprodução humana: conquistas médicas e o debate bioético.</w:t>
      </w:r>
      <w:r>
        <w:rPr>
          <w:rFonts w:cs="Times New Roman"/>
          <w:b w:val="0"/>
        </w:rPr>
        <w:t xml:space="preserve"> Rio de Janeiro: Renovar, 2003</w:t>
      </w:r>
    </w:p>
    <w:p w14:paraId="614F9B0A" w14:textId="77777777" w:rsidR="00452C2C" w:rsidRPr="000B194E" w:rsidRDefault="00452C2C" w:rsidP="00FC165D">
      <w:pPr>
        <w:pStyle w:val="Textodenotaderodap"/>
        <w:spacing w:line="240" w:lineRule="auto"/>
        <w:ind w:left="284" w:hanging="284"/>
        <w:rPr>
          <w:rFonts w:cs="Times New Roman"/>
          <w:b w:val="0"/>
          <w:sz w:val="24"/>
          <w:szCs w:val="24"/>
        </w:rPr>
      </w:pPr>
    </w:p>
    <w:p w14:paraId="45FBBEE0" w14:textId="77777777" w:rsidR="000B194E" w:rsidRDefault="000B194E" w:rsidP="00FC165D">
      <w:pPr>
        <w:pStyle w:val="Textodenotaderodap"/>
        <w:spacing w:line="240" w:lineRule="auto"/>
        <w:ind w:left="284" w:hanging="284"/>
        <w:rPr>
          <w:rFonts w:cs="Times New Roman"/>
          <w:b w:val="0"/>
          <w:sz w:val="24"/>
          <w:szCs w:val="24"/>
        </w:rPr>
      </w:pPr>
      <w:r w:rsidRPr="000B194E">
        <w:rPr>
          <w:rFonts w:cs="Times New Roman"/>
          <w:b w:val="0"/>
          <w:sz w:val="24"/>
          <w:szCs w:val="24"/>
        </w:rPr>
        <w:t xml:space="preserve">CAMARGO NETO, Mario de Carvalho; OLIVEIRA, Marcelo </w:t>
      </w:r>
      <w:proofErr w:type="spellStart"/>
      <w:r w:rsidRPr="000B194E">
        <w:rPr>
          <w:rFonts w:cs="Times New Roman"/>
          <w:b w:val="0"/>
          <w:sz w:val="24"/>
          <w:szCs w:val="24"/>
        </w:rPr>
        <w:t>Salaroli</w:t>
      </w:r>
      <w:proofErr w:type="spellEnd"/>
      <w:r w:rsidRPr="000B194E">
        <w:rPr>
          <w:rFonts w:cs="Times New Roman"/>
          <w:b w:val="0"/>
          <w:sz w:val="24"/>
          <w:szCs w:val="24"/>
        </w:rPr>
        <w:t xml:space="preserve"> de - </w:t>
      </w:r>
      <w:r w:rsidRPr="000B194E">
        <w:rPr>
          <w:rFonts w:cs="Times New Roman"/>
          <w:sz w:val="24"/>
          <w:szCs w:val="24"/>
        </w:rPr>
        <w:t xml:space="preserve">Registro Civil das Pessoas Naturais I. </w:t>
      </w:r>
      <w:r w:rsidRPr="000B194E">
        <w:rPr>
          <w:rFonts w:cs="Times New Roman"/>
          <w:b w:val="0"/>
          <w:sz w:val="24"/>
          <w:szCs w:val="24"/>
        </w:rPr>
        <w:t>São Paulo: Saraiva, 2014.</w:t>
      </w:r>
    </w:p>
    <w:p w14:paraId="65D674F5" w14:textId="77777777" w:rsidR="00C803B1" w:rsidRDefault="00C803B1" w:rsidP="00FC165D">
      <w:pPr>
        <w:pStyle w:val="Textodenotaderodap"/>
        <w:spacing w:line="240" w:lineRule="auto"/>
        <w:ind w:left="284" w:hanging="284"/>
        <w:rPr>
          <w:rFonts w:cs="Times New Roman"/>
          <w:b w:val="0"/>
          <w:sz w:val="24"/>
          <w:szCs w:val="24"/>
        </w:rPr>
      </w:pPr>
    </w:p>
    <w:p w14:paraId="6F51D62F" w14:textId="77777777" w:rsidR="00C803B1" w:rsidRPr="00C803B1" w:rsidRDefault="00C803B1" w:rsidP="00FC165D">
      <w:pPr>
        <w:pStyle w:val="Textodenotaderodap"/>
        <w:spacing w:line="240" w:lineRule="auto"/>
        <w:ind w:left="284" w:hanging="284"/>
        <w:rPr>
          <w:rFonts w:cs="Times New Roman"/>
          <w:b w:val="0"/>
          <w:sz w:val="24"/>
          <w:szCs w:val="24"/>
        </w:rPr>
      </w:pPr>
      <w:r w:rsidRPr="00C803B1">
        <w:rPr>
          <w:b w:val="0"/>
          <w:bCs/>
          <w:sz w:val="24"/>
          <w:szCs w:val="24"/>
        </w:rPr>
        <w:t xml:space="preserve">CAMPOS, Diogo Leite de – A família: do direito aos direitos. </w:t>
      </w:r>
      <w:r w:rsidRPr="00C803B1">
        <w:rPr>
          <w:sz w:val="24"/>
          <w:szCs w:val="24"/>
        </w:rPr>
        <w:t>Revista Brasileira de Direito Comparado.</w:t>
      </w:r>
      <w:r w:rsidRPr="00C803B1">
        <w:rPr>
          <w:b w:val="0"/>
          <w:bCs/>
          <w:sz w:val="24"/>
          <w:szCs w:val="24"/>
        </w:rPr>
        <w:t xml:space="preserve"> Rio de Janeiro: Instituto de Direito Comparado Luso-Brasileiro. N</w:t>
      </w:r>
      <w:r w:rsidRPr="00C803B1">
        <w:rPr>
          <w:rFonts w:cs="Times New Roman"/>
          <w:b w:val="0"/>
          <w:bCs/>
          <w:sz w:val="24"/>
          <w:szCs w:val="24"/>
        </w:rPr>
        <w:t>°</w:t>
      </w:r>
      <w:r w:rsidRPr="00C803B1">
        <w:rPr>
          <w:b w:val="0"/>
          <w:bCs/>
          <w:sz w:val="24"/>
          <w:szCs w:val="24"/>
        </w:rPr>
        <w:t>32, 2009, p. 221-237</w:t>
      </w:r>
      <w:r>
        <w:rPr>
          <w:b w:val="0"/>
          <w:bCs/>
          <w:sz w:val="24"/>
          <w:szCs w:val="24"/>
        </w:rPr>
        <w:t>.</w:t>
      </w:r>
    </w:p>
    <w:p w14:paraId="3192BA97" w14:textId="77777777" w:rsidR="009D2207" w:rsidRDefault="009D2207" w:rsidP="00FC165D">
      <w:pPr>
        <w:pStyle w:val="Textodenotaderodap"/>
        <w:spacing w:line="240" w:lineRule="auto"/>
        <w:ind w:left="284" w:hanging="284"/>
        <w:rPr>
          <w:rFonts w:cs="Times New Roman"/>
          <w:b w:val="0"/>
          <w:sz w:val="24"/>
          <w:szCs w:val="24"/>
        </w:rPr>
      </w:pPr>
    </w:p>
    <w:p w14:paraId="650D13E3" w14:textId="77777777" w:rsidR="009D2207" w:rsidRPr="000B194E" w:rsidRDefault="00C803B1" w:rsidP="00FC165D">
      <w:pPr>
        <w:pStyle w:val="Textodenotaderodap"/>
        <w:spacing w:line="240" w:lineRule="auto"/>
        <w:ind w:left="284" w:hanging="284"/>
        <w:rPr>
          <w:rFonts w:cs="Times New Roman"/>
          <w:b w:val="0"/>
          <w:sz w:val="24"/>
          <w:szCs w:val="24"/>
        </w:rPr>
      </w:pPr>
      <w:r>
        <w:rPr>
          <w:rFonts w:cs="Times New Roman"/>
          <w:b w:val="0"/>
          <w:sz w:val="24"/>
          <w:szCs w:val="24"/>
        </w:rPr>
        <w:t>______</w:t>
      </w:r>
      <w:r w:rsidR="009D2207">
        <w:rPr>
          <w:rFonts w:cs="Times New Roman"/>
          <w:b w:val="0"/>
          <w:sz w:val="24"/>
          <w:szCs w:val="24"/>
        </w:rPr>
        <w:t xml:space="preserve"> – </w:t>
      </w:r>
      <w:r w:rsidR="009D2207" w:rsidRPr="0080008A">
        <w:rPr>
          <w:rFonts w:cs="Times New Roman"/>
          <w:bCs/>
          <w:sz w:val="24"/>
          <w:szCs w:val="24"/>
        </w:rPr>
        <w:t>Lições de direito d</w:t>
      </w:r>
      <w:r w:rsidR="00766997">
        <w:rPr>
          <w:rFonts w:cs="Times New Roman"/>
          <w:bCs/>
          <w:sz w:val="24"/>
          <w:szCs w:val="24"/>
        </w:rPr>
        <w:t>a</w:t>
      </w:r>
      <w:r w:rsidR="009D2207" w:rsidRPr="0080008A">
        <w:rPr>
          <w:rFonts w:cs="Times New Roman"/>
          <w:bCs/>
          <w:sz w:val="24"/>
          <w:szCs w:val="24"/>
        </w:rPr>
        <w:t xml:space="preserve"> família.</w:t>
      </w:r>
      <w:r w:rsidR="009D2207">
        <w:rPr>
          <w:rFonts w:cs="Times New Roman"/>
          <w:b w:val="0"/>
          <w:sz w:val="24"/>
          <w:szCs w:val="24"/>
        </w:rPr>
        <w:t xml:space="preserve"> </w:t>
      </w:r>
      <w:r w:rsidR="00766997">
        <w:rPr>
          <w:rFonts w:cs="Times New Roman"/>
          <w:b w:val="0"/>
          <w:sz w:val="24"/>
          <w:szCs w:val="24"/>
        </w:rPr>
        <w:t xml:space="preserve">3ª edição. </w:t>
      </w:r>
      <w:r w:rsidR="009D2207">
        <w:rPr>
          <w:rFonts w:cs="Times New Roman"/>
          <w:b w:val="0"/>
          <w:sz w:val="24"/>
          <w:szCs w:val="24"/>
        </w:rPr>
        <w:t xml:space="preserve">Coimbra: Almedina, </w:t>
      </w:r>
      <w:r w:rsidR="00766997">
        <w:rPr>
          <w:rFonts w:cs="Times New Roman"/>
          <w:b w:val="0"/>
          <w:sz w:val="24"/>
          <w:szCs w:val="24"/>
        </w:rPr>
        <w:t>2016</w:t>
      </w:r>
      <w:r w:rsidR="009D2207">
        <w:rPr>
          <w:rFonts w:cs="Times New Roman"/>
          <w:b w:val="0"/>
          <w:sz w:val="24"/>
          <w:szCs w:val="24"/>
        </w:rPr>
        <w:t>.</w:t>
      </w:r>
    </w:p>
    <w:p w14:paraId="41C0CDEC" w14:textId="77777777" w:rsidR="000B194E" w:rsidRPr="000B194E" w:rsidRDefault="000B194E" w:rsidP="00FC165D">
      <w:pPr>
        <w:tabs>
          <w:tab w:val="left" w:pos="2729"/>
        </w:tabs>
        <w:spacing w:line="240" w:lineRule="auto"/>
        <w:ind w:left="284" w:hanging="284"/>
        <w:rPr>
          <w:rFonts w:cs="Times New Roman"/>
          <w:b w:val="0"/>
        </w:rPr>
      </w:pPr>
    </w:p>
    <w:p w14:paraId="3CABF49B" w14:textId="77777777" w:rsidR="00EA51EF" w:rsidRPr="00EA51EF" w:rsidRDefault="00EA51EF" w:rsidP="00FC165D">
      <w:pPr>
        <w:pStyle w:val="Textodenotaderodap"/>
        <w:spacing w:line="240" w:lineRule="auto"/>
        <w:ind w:left="284" w:hanging="284"/>
        <w:rPr>
          <w:rStyle w:val="dados"/>
          <w:rFonts w:cs="Times New Roman"/>
          <w:b w:val="0"/>
          <w:sz w:val="24"/>
          <w:szCs w:val="24"/>
        </w:rPr>
      </w:pPr>
      <w:r w:rsidRPr="00EA51EF">
        <w:rPr>
          <w:b w:val="0"/>
          <w:bCs/>
          <w:sz w:val="24"/>
          <w:szCs w:val="24"/>
        </w:rPr>
        <w:t xml:space="preserve">CANOTILHO, J. J. Gomes; MOREIRA, Vital – </w:t>
      </w:r>
      <w:r w:rsidRPr="00EA51EF">
        <w:rPr>
          <w:sz w:val="24"/>
          <w:szCs w:val="24"/>
        </w:rPr>
        <w:t>Constituição da República Portuguesa Anotada.</w:t>
      </w:r>
      <w:r w:rsidRPr="00EA51EF">
        <w:rPr>
          <w:b w:val="0"/>
          <w:bCs/>
          <w:sz w:val="24"/>
          <w:szCs w:val="24"/>
        </w:rPr>
        <w:t xml:space="preserve"> Vol. 1 (artigos 1</w:t>
      </w:r>
      <w:r w:rsidRPr="00EA51EF">
        <w:rPr>
          <w:rFonts w:cs="Times New Roman"/>
          <w:b w:val="0"/>
          <w:bCs/>
          <w:sz w:val="24"/>
          <w:szCs w:val="24"/>
        </w:rPr>
        <w:t>°</w:t>
      </w:r>
      <w:r w:rsidRPr="00EA51EF">
        <w:rPr>
          <w:b w:val="0"/>
          <w:bCs/>
          <w:sz w:val="24"/>
          <w:szCs w:val="24"/>
        </w:rPr>
        <w:t xml:space="preserve"> a 107</w:t>
      </w:r>
      <w:r w:rsidRPr="00EA51EF">
        <w:rPr>
          <w:rFonts w:cs="Times New Roman"/>
          <w:b w:val="0"/>
          <w:bCs/>
          <w:sz w:val="24"/>
          <w:szCs w:val="24"/>
        </w:rPr>
        <w:t>°</w:t>
      </w:r>
      <w:r w:rsidRPr="00EA51EF">
        <w:rPr>
          <w:b w:val="0"/>
          <w:bCs/>
          <w:sz w:val="24"/>
          <w:szCs w:val="24"/>
        </w:rPr>
        <w:t>). Coimbra: Coimbra Editora, 2007.</w:t>
      </w:r>
    </w:p>
    <w:p w14:paraId="2BD3BE71" w14:textId="77777777" w:rsidR="004E5CE8" w:rsidRDefault="004E5CE8" w:rsidP="00FC165D">
      <w:pPr>
        <w:pStyle w:val="Textodenotaderodap"/>
        <w:spacing w:line="240" w:lineRule="auto"/>
        <w:ind w:left="284" w:hanging="284"/>
        <w:rPr>
          <w:rStyle w:val="dados"/>
          <w:rFonts w:cs="Times New Roman"/>
          <w:b w:val="0"/>
          <w:sz w:val="24"/>
          <w:szCs w:val="24"/>
        </w:rPr>
      </w:pPr>
    </w:p>
    <w:p w14:paraId="753DD09C" w14:textId="77777777" w:rsidR="004E5CE8" w:rsidRPr="004E5CE8" w:rsidRDefault="004E5CE8" w:rsidP="00FC165D">
      <w:pPr>
        <w:pStyle w:val="Textodenotaderodap"/>
        <w:spacing w:line="240" w:lineRule="auto"/>
        <w:ind w:left="284" w:hanging="284"/>
        <w:rPr>
          <w:rStyle w:val="dados"/>
          <w:rFonts w:cs="Times New Roman"/>
          <w:b w:val="0"/>
          <w:sz w:val="24"/>
          <w:szCs w:val="24"/>
        </w:rPr>
      </w:pPr>
      <w:r w:rsidRPr="004E5CE8">
        <w:rPr>
          <w:b w:val="0"/>
          <w:bCs/>
          <w:sz w:val="24"/>
          <w:szCs w:val="24"/>
        </w:rPr>
        <w:t xml:space="preserve">CAVALCANTI, Camilla de </w:t>
      </w:r>
      <w:proofErr w:type="spellStart"/>
      <w:r w:rsidRPr="004E5CE8">
        <w:rPr>
          <w:b w:val="0"/>
          <w:bCs/>
          <w:sz w:val="24"/>
          <w:szCs w:val="24"/>
        </w:rPr>
        <w:t>Araujo</w:t>
      </w:r>
      <w:proofErr w:type="spellEnd"/>
      <w:r w:rsidRPr="004E5CE8">
        <w:rPr>
          <w:b w:val="0"/>
          <w:bCs/>
          <w:sz w:val="24"/>
          <w:szCs w:val="24"/>
        </w:rPr>
        <w:t xml:space="preserve"> – </w:t>
      </w:r>
      <w:r w:rsidRPr="004E5CE8">
        <w:rPr>
          <w:sz w:val="24"/>
          <w:szCs w:val="24"/>
        </w:rPr>
        <w:t>A Constituição e a dignidade humana na tutela das famílias pós-modernas.</w:t>
      </w:r>
      <w:r w:rsidRPr="004E5CE8">
        <w:rPr>
          <w:b w:val="0"/>
          <w:bCs/>
          <w:sz w:val="24"/>
          <w:szCs w:val="24"/>
        </w:rPr>
        <w:t xml:space="preserve"> Coimbra: Universidade de Coimbra, 2014. 137fls. Dissertação de Mestrado em Direito.</w:t>
      </w:r>
    </w:p>
    <w:p w14:paraId="5F78EF86" w14:textId="77777777" w:rsidR="00807575" w:rsidRDefault="00807575" w:rsidP="00FC165D">
      <w:pPr>
        <w:pStyle w:val="Textodenotaderodap"/>
        <w:spacing w:line="240" w:lineRule="auto"/>
        <w:ind w:left="284" w:hanging="284"/>
        <w:rPr>
          <w:rStyle w:val="dados"/>
          <w:rFonts w:cs="Times New Roman"/>
          <w:b w:val="0"/>
          <w:sz w:val="24"/>
          <w:szCs w:val="24"/>
        </w:rPr>
      </w:pPr>
    </w:p>
    <w:p w14:paraId="3D89D573" w14:textId="77777777" w:rsidR="00807575" w:rsidRPr="00562AFB" w:rsidRDefault="00807575" w:rsidP="00807575">
      <w:pPr>
        <w:pStyle w:val="Textodenotaderodap"/>
        <w:spacing w:line="240" w:lineRule="auto"/>
        <w:ind w:left="284" w:hanging="284"/>
        <w:rPr>
          <w:rFonts w:cs="Times New Roman"/>
          <w:b w:val="0"/>
          <w:sz w:val="24"/>
          <w:szCs w:val="24"/>
        </w:rPr>
      </w:pPr>
      <w:r w:rsidRPr="00562AFB">
        <w:rPr>
          <w:rStyle w:val="nfase"/>
          <w:rFonts w:cs="Times New Roman"/>
          <w:b w:val="0"/>
          <w:i w:val="0"/>
          <w:iCs w:val="0"/>
          <w:sz w:val="24"/>
          <w:szCs w:val="24"/>
        </w:rPr>
        <w:t xml:space="preserve">CÓDIGO Civil Brasileiro. Lei n.º 10.406/02. </w:t>
      </w:r>
      <w:r w:rsidRPr="00562AFB">
        <w:rPr>
          <w:rFonts w:cs="Times New Roman"/>
          <w:sz w:val="24"/>
          <w:szCs w:val="24"/>
        </w:rPr>
        <w:t>Diário Oficial da União.</w:t>
      </w:r>
      <w:r w:rsidRPr="00562AFB">
        <w:rPr>
          <w:rFonts w:cs="Times New Roman"/>
          <w:b w:val="0"/>
          <w:sz w:val="24"/>
          <w:szCs w:val="24"/>
        </w:rPr>
        <w:t xml:space="preserve"> [Em linha]. (10-01-2002). Disponível em </w:t>
      </w:r>
      <w:r w:rsidRPr="0049313E">
        <w:rPr>
          <w:rFonts w:cs="Times New Roman"/>
          <w:b w:val="0"/>
          <w:sz w:val="24"/>
          <w:szCs w:val="24"/>
        </w:rPr>
        <w:t>http://www2.camara.leg.br/legin/fed/lei/2002/lei-10406-10-janeiro-2002-432893-norma-pl.html.</w:t>
      </w:r>
      <w:r w:rsidRPr="00FD43BC">
        <w:rPr>
          <w:rFonts w:cs="Times New Roman"/>
          <w:b w:val="0"/>
          <w:sz w:val="24"/>
          <w:szCs w:val="24"/>
          <w:u w:val="single"/>
        </w:rPr>
        <w:t xml:space="preserve"> </w:t>
      </w:r>
    </w:p>
    <w:p w14:paraId="6BCE7A96" w14:textId="77777777" w:rsidR="00807575" w:rsidRDefault="00807575" w:rsidP="00FC165D">
      <w:pPr>
        <w:pStyle w:val="Textodenotaderodap"/>
        <w:spacing w:line="240" w:lineRule="auto"/>
        <w:ind w:left="284" w:hanging="284"/>
        <w:rPr>
          <w:rStyle w:val="dados"/>
          <w:rFonts w:cs="Times New Roman"/>
          <w:b w:val="0"/>
          <w:sz w:val="24"/>
          <w:szCs w:val="24"/>
        </w:rPr>
      </w:pPr>
    </w:p>
    <w:p w14:paraId="6B41B637" w14:textId="77777777" w:rsidR="00807575" w:rsidRPr="00562AFB" w:rsidRDefault="00807575" w:rsidP="00807575">
      <w:pPr>
        <w:pStyle w:val="Textodenotaderodap"/>
        <w:spacing w:line="240" w:lineRule="auto"/>
        <w:ind w:left="284" w:hanging="284"/>
        <w:rPr>
          <w:rFonts w:cs="Times New Roman"/>
          <w:b w:val="0"/>
          <w:sz w:val="24"/>
          <w:szCs w:val="24"/>
        </w:rPr>
      </w:pPr>
      <w:r w:rsidRPr="00562AFB">
        <w:rPr>
          <w:rFonts w:cs="Times New Roman"/>
          <w:b w:val="0"/>
          <w:sz w:val="24"/>
          <w:szCs w:val="24"/>
        </w:rPr>
        <w:t xml:space="preserve">CÓDIGO Civil Português. Decreto-lei n.º 47.344/66. </w:t>
      </w:r>
      <w:r w:rsidRPr="00562AFB">
        <w:rPr>
          <w:rFonts w:cs="Times New Roman"/>
          <w:sz w:val="24"/>
          <w:szCs w:val="24"/>
        </w:rPr>
        <w:t>Diário da República, I Série.</w:t>
      </w:r>
      <w:r w:rsidRPr="00562AFB">
        <w:rPr>
          <w:rFonts w:cs="Times New Roman"/>
          <w:b w:val="0"/>
          <w:sz w:val="24"/>
          <w:szCs w:val="24"/>
        </w:rPr>
        <w:t xml:space="preserve"> [Em linha]. Nº 274 (25-11-66). Disponível em </w:t>
      </w:r>
      <w:r w:rsidRPr="00CC5195">
        <w:rPr>
          <w:rFonts w:cs="Times New Roman"/>
          <w:b w:val="0"/>
          <w:sz w:val="24"/>
          <w:szCs w:val="24"/>
        </w:rPr>
        <w:t>https://dre.pt/web/guest/pesquisa/-/search/477358/details/normal?l=1</w:t>
      </w:r>
      <w:r w:rsidRPr="00562AFB">
        <w:rPr>
          <w:rFonts w:cs="Times New Roman"/>
          <w:b w:val="0"/>
          <w:sz w:val="24"/>
          <w:szCs w:val="24"/>
        </w:rPr>
        <w:t>.</w:t>
      </w:r>
    </w:p>
    <w:p w14:paraId="52F84135" w14:textId="77777777" w:rsidR="00F56E3B" w:rsidRDefault="00F56E3B" w:rsidP="00FC165D">
      <w:pPr>
        <w:pStyle w:val="Textodenotaderodap"/>
        <w:spacing w:line="240" w:lineRule="auto"/>
        <w:ind w:left="284" w:hanging="284"/>
        <w:rPr>
          <w:rStyle w:val="dados"/>
          <w:rFonts w:cs="Times New Roman"/>
          <w:b w:val="0"/>
          <w:sz w:val="24"/>
          <w:szCs w:val="24"/>
        </w:rPr>
      </w:pPr>
    </w:p>
    <w:p w14:paraId="18EA7762" w14:textId="77777777" w:rsidR="00F56E3B" w:rsidRDefault="00F56E3B" w:rsidP="00FC165D">
      <w:pPr>
        <w:pStyle w:val="Textodenotaderodap"/>
        <w:spacing w:line="240" w:lineRule="auto"/>
        <w:ind w:left="284" w:hanging="284"/>
        <w:rPr>
          <w:rStyle w:val="dados"/>
          <w:rFonts w:cs="Times New Roman"/>
          <w:b w:val="0"/>
          <w:sz w:val="24"/>
          <w:szCs w:val="24"/>
        </w:rPr>
      </w:pPr>
      <w:r>
        <w:rPr>
          <w:rStyle w:val="dados"/>
          <w:rFonts w:cs="Times New Roman"/>
          <w:b w:val="0"/>
          <w:sz w:val="24"/>
          <w:szCs w:val="24"/>
        </w:rPr>
        <w:t xml:space="preserve">COELHO, Fabio </w:t>
      </w:r>
      <w:proofErr w:type="spellStart"/>
      <w:r>
        <w:rPr>
          <w:rStyle w:val="dados"/>
          <w:rFonts w:cs="Times New Roman"/>
          <w:b w:val="0"/>
          <w:sz w:val="24"/>
          <w:szCs w:val="24"/>
        </w:rPr>
        <w:t>Ulhoa</w:t>
      </w:r>
      <w:proofErr w:type="spellEnd"/>
      <w:r>
        <w:rPr>
          <w:rStyle w:val="dados"/>
          <w:rFonts w:cs="Times New Roman"/>
          <w:b w:val="0"/>
          <w:sz w:val="24"/>
          <w:szCs w:val="24"/>
        </w:rPr>
        <w:t xml:space="preserve"> – </w:t>
      </w:r>
      <w:r w:rsidRPr="00F56E3B">
        <w:rPr>
          <w:rStyle w:val="dados"/>
          <w:rFonts w:cs="Times New Roman"/>
          <w:bCs/>
          <w:sz w:val="24"/>
          <w:szCs w:val="24"/>
        </w:rPr>
        <w:t>Curso de direito civil.</w:t>
      </w:r>
      <w:r>
        <w:rPr>
          <w:rStyle w:val="dados"/>
          <w:rFonts w:cs="Times New Roman"/>
          <w:b w:val="0"/>
          <w:sz w:val="24"/>
          <w:szCs w:val="24"/>
        </w:rPr>
        <w:t xml:space="preserve"> Volume 5. São Paulo: Saraiva, 20</w:t>
      </w:r>
      <w:r w:rsidR="00FE196D">
        <w:rPr>
          <w:rStyle w:val="dados"/>
          <w:rFonts w:cs="Times New Roman"/>
          <w:b w:val="0"/>
          <w:sz w:val="24"/>
          <w:szCs w:val="24"/>
        </w:rPr>
        <w:t>12</w:t>
      </w:r>
      <w:r>
        <w:rPr>
          <w:rStyle w:val="dados"/>
          <w:rFonts w:cs="Times New Roman"/>
          <w:b w:val="0"/>
          <w:sz w:val="24"/>
          <w:szCs w:val="24"/>
        </w:rPr>
        <w:t>.</w:t>
      </w:r>
    </w:p>
    <w:p w14:paraId="75F29801" w14:textId="77777777" w:rsidR="00BA0266" w:rsidRDefault="00BA0266" w:rsidP="00FC165D">
      <w:pPr>
        <w:pStyle w:val="Textodenotaderodap"/>
        <w:spacing w:line="240" w:lineRule="auto"/>
        <w:ind w:left="284" w:hanging="284"/>
        <w:rPr>
          <w:rStyle w:val="dados"/>
          <w:rFonts w:cs="Times New Roman"/>
          <w:b w:val="0"/>
          <w:sz w:val="24"/>
          <w:szCs w:val="24"/>
        </w:rPr>
      </w:pPr>
    </w:p>
    <w:p w14:paraId="76BE6169" w14:textId="77777777" w:rsidR="00BA0266" w:rsidRDefault="00BA0266" w:rsidP="00FC165D">
      <w:pPr>
        <w:pStyle w:val="Textodenotaderodap"/>
        <w:spacing w:line="240" w:lineRule="auto"/>
        <w:ind w:left="284" w:hanging="284"/>
        <w:rPr>
          <w:rStyle w:val="dados"/>
          <w:rFonts w:cs="Times New Roman"/>
          <w:b w:val="0"/>
          <w:sz w:val="24"/>
          <w:szCs w:val="24"/>
        </w:rPr>
      </w:pPr>
      <w:r>
        <w:rPr>
          <w:rStyle w:val="dados"/>
          <w:rFonts w:cs="Times New Roman"/>
          <w:b w:val="0"/>
          <w:sz w:val="24"/>
          <w:szCs w:val="24"/>
        </w:rPr>
        <w:t>COELHO, Francisco Pereira; OLIVEIRA, Guilherme – Curso de Direito de Família. Volume I: Introdução. Direito Matrimonial. 2ª edição. Coimbra: Coimbra Editora, 2001.</w:t>
      </w:r>
    </w:p>
    <w:p w14:paraId="00ABED83" w14:textId="77777777" w:rsidR="00406707" w:rsidRDefault="00406707" w:rsidP="00FC165D">
      <w:pPr>
        <w:pStyle w:val="Textodenotaderodap"/>
        <w:spacing w:line="240" w:lineRule="auto"/>
        <w:ind w:left="284" w:hanging="284"/>
        <w:rPr>
          <w:rStyle w:val="dados"/>
          <w:rFonts w:cs="Times New Roman"/>
          <w:b w:val="0"/>
          <w:sz w:val="24"/>
          <w:szCs w:val="24"/>
        </w:rPr>
      </w:pPr>
    </w:p>
    <w:p w14:paraId="49DE97A8" w14:textId="77777777" w:rsidR="00807575" w:rsidRPr="00A96814" w:rsidRDefault="00807575" w:rsidP="00807575">
      <w:pPr>
        <w:pStyle w:val="Textodenotaderodap"/>
        <w:spacing w:line="240" w:lineRule="auto"/>
        <w:ind w:left="284" w:hanging="284"/>
        <w:rPr>
          <w:rFonts w:cs="Times New Roman"/>
          <w:b w:val="0"/>
          <w:sz w:val="24"/>
          <w:szCs w:val="24"/>
        </w:rPr>
      </w:pPr>
      <w:r w:rsidRPr="00562AFB">
        <w:rPr>
          <w:rFonts w:cs="Times New Roman"/>
          <w:b w:val="0"/>
          <w:sz w:val="24"/>
          <w:szCs w:val="24"/>
        </w:rPr>
        <w:t xml:space="preserve">CONSTITUIÇÃO da República Federativa do Brasil. </w:t>
      </w:r>
      <w:r w:rsidRPr="00562AFB">
        <w:rPr>
          <w:rFonts w:cs="Times New Roman"/>
          <w:sz w:val="24"/>
          <w:szCs w:val="24"/>
        </w:rPr>
        <w:t>Diário Oficial da União.</w:t>
      </w:r>
      <w:r w:rsidRPr="00562AFB">
        <w:rPr>
          <w:rFonts w:cs="Times New Roman"/>
          <w:b w:val="0"/>
          <w:sz w:val="24"/>
          <w:szCs w:val="24"/>
        </w:rPr>
        <w:t xml:space="preserve"> [Em linha]. (05-10-88). Disponível em </w:t>
      </w:r>
      <w:r w:rsidRPr="00CC5195">
        <w:rPr>
          <w:rFonts w:cs="Times New Roman"/>
          <w:b w:val="0"/>
          <w:sz w:val="24"/>
          <w:szCs w:val="24"/>
        </w:rPr>
        <w:t>http://www.planalto.gov.br/ccivil_03/Constituicao/Constituiçao.htm</w:t>
      </w:r>
      <w:r w:rsidRPr="00A96814">
        <w:rPr>
          <w:rFonts w:cs="Times New Roman"/>
          <w:b w:val="0"/>
          <w:sz w:val="24"/>
          <w:szCs w:val="24"/>
        </w:rPr>
        <w:t xml:space="preserve">. </w:t>
      </w:r>
    </w:p>
    <w:p w14:paraId="7B6CDF78" w14:textId="77777777" w:rsidR="000B194E" w:rsidRDefault="000B194E" w:rsidP="00FC165D">
      <w:pPr>
        <w:spacing w:line="240" w:lineRule="auto"/>
        <w:ind w:left="284" w:hanging="284"/>
        <w:rPr>
          <w:rFonts w:cs="Times New Roman"/>
          <w:b w:val="0"/>
        </w:rPr>
      </w:pPr>
    </w:p>
    <w:p w14:paraId="1AC5FDD3" w14:textId="77777777" w:rsidR="00807575" w:rsidRPr="00D4571C" w:rsidRDefault="00807575" w:rsidP="00807575">
      <w:pPr>
        <w:pStyle w:val="Textodenotaderodap"/>
        <w:spacing w:line="240" w:lineRule="auto"/>
        <w:ind w:left="284" w:hanging="284"/>
        <w:rPr>
          <w:rFonts w:cs="Times New Roman"/>
          <w:b w:val="0"/>
          <w:sz w:val="24"/>
          <w:szCs w:val="24"/>
          <w:u w:val="single"/>
        </w:rPr>
      </w:pPr>
      <w:r w:rsidRPr="00562AFB">
        <w:rPr>
          <w:rFonts w:eastAsia="Times New Roman" w:cs="Times New Roman"/>
          <w:b w:val="0"/>
          <w:sz w:val="24"/>
          <w:szCs w:val="24"/>
          <w:lang w:val="pt-PT" w:eastAsia="pt-PT"/>
        </w:rPr>
        <w:t xml:space="preserve">CONSTITUIÇÃO da República Portuguesa. </w:t>
      </w:r>
      <w:r w:rsidRPr="00562AFB">
        <w:rPr>
          <w:rFonts w:eastAsia="Times New Roman" w:cs="Times New Roman"/>
          <w:bCs/>
          <w:sz w:val="24"/>
          <w:szCs w:val="24"/>
          <w:lang w:val="pt-PT" w:eastAsia="pt-PT"/>
        </w:rPr>
        <w:t>Diário da República, I Série.</w:t>
      </w:r>
      <w:r w:rsidRPr="00562AFB">
        <w:rPr>
          <w:rFonts w:eastAsia="Times New Roman" w:cs="Times New Roman"/>
          <w:b w:val="0"/>
          <w:sz w:val="24"/>
          <w:szCs w:val="24"/>
          <w:lang w:val="pt-PT" w:eastAsia="pt-PT"/>
        </w:rPr>
        <w:t xml:space="preserve"> [Em linha]. N.º 86 (10-04-76). Disponível em </w:t>
      </w:r>
      <w:r w:rsidRPr="00D4571C">
        <w:rPr>
          <w:rFonts w:cs="Times New Roman"/>
          <w:b w:val="0"/>
          <w:sz w:val="24"/>
          <w:szCs w:val="24"/>
          <w:u w:val="single"/>
          <w:lang w:eastAsia="pt-BR"/>
        </w:rPr>
        <w:t>http://www.parlamento.pt/Legislacao/Paginas/ConstituicaoRepublicaPortuguesa.aspx.</w:t>
      </w:r>
    </w:p>
    <w:p w14:paraId="38A74B9D" w14:textId="77777777" w:rsidR="00807575" w:rsidRPr="000B194E" w:rsidRDefault="00807575" w:rsidP="00FC165D">
      <w:pPr>
        <w:spacing w:line="240" w:lineRule="auto"/>
        <w:ind w:left="284" w:hanging="284"/>
        <w:rPr>
          <w:rFonts w:cs="Times New Roman"/>
          <w:b w:val="0"/>
        </w:rPr>
      </w:pPr>
    </w:p>
    <w:p w14:paraId="050C9636" w14:textId="77777777" w:rsidR="006669CF" w:rsidRDefault="006669CF" w:rsidP="00231CF5">
      <w:pPr>
        <w:spacing w:line="240" w:lineRule="auto"/>
        <w:ind w:left="284" w:hanging="284"/>
        <w:rPr>
          <w:b w:val="0"/>
          <w:bCs/>
        </w:rPr>
      </w:pPr>
      <w:r w:rsidRPr="006669CF">
        <w:rPr>
          <w:b w:val="0"/>
          <w:bCs/>
        </w:rPr>
        <w:t xml:space="preserve">CRUZ, </w:t>
      </w:r>
      <w:proofErr w:type="spellStart"/>
      <w:r w:rsidRPr="006669CF">
        <w:rPr>
          <w:b w:val="0"/>
          <w:bCs/>
        </w:rPr>
        <w:t>Rossana</w:t>
      </w:r>
      <w:proofErr w:type="spellEnd"/>
      <w:r w:rsidRPr="006669CF">
        <w:rPr>
          <w:b w:val="0"/>
          <w:bCs/>
        </w:rPr>
        <w:t xml:space="preserve"> </w:t>
      </w:r>
      <w:proofErr w:type="spellStart"/>
      <w:r w:rsidRPr="006669CF">
        <w:rPr>
          <w:b w:val="0"/>
          <w:bCs/>
        </w:rPr>
        <w:t>Martingo</w:t>
      </w:r>
      <w:proofErr w:type="spellEnd"/>
      <w:r w:rsidRPr="006669CF">
        <w:rPr>
          <w:b w:val="0"/>
          <w:bCs/>
        </w:rPr>
        <w:t xml:space="preserve"> – O estabelecimento da filiação e a Constituição da República Portuguesa – alguns pontos de discussão.  </w:t>
      </w:r>
      <w:r w:rsidRPr="006669CF">
        <w:t xml:space="preserve">Cadernos de </w:t>
      </w:r>
      <w:proofErr w:type="spellStart"/>
      <w:r w:rsidRPr="006669CF">
        <w:t>Dereito</w:t>
      </w:r>
      <w:proofErr w:type="spellEnd"/>
      <w:r w:rsidRPr="006669CF">
        <w:t xml:space="preserve"> </w:t>
      </w:r>
      <w:proofErr w:type="spellStart"/>
      <w:r w:rsidRPr="006669CF">
        <w:t>Actual</w:t>
      </w:r>
      <w:proofErr w:type="spellEnd"/>
      <w:r w:rsidRPr="006669CF">
        <w:t xml:space="preserve"> n</w:t>
      </w:r>
      <w:r w:rsidRPr="006669CF">
        <w:rPr>
          <w:rFonts w:cs="Times New Roman"/>
        </w:rPr>
        <w:t>°</w:t>
      </w:r>
      <w:r w:rsidRPr="006669CF">
        <w:t xml:space="preserve"> 5</w:t>
      </w:r>
      <w:r w:rsidRPr="006669CF">
        <w:rPr>
          <w:b w:val="0"/>
          <w:bCs/>
        </w:rPr>
        <w:t xml:space="preserve"> (2017), p.1</w:t>
      </w:r>
      <w:r>
        <w:rPr>
          <w:b w:val="0"/>
          <w:bCs/>
        </w:rPr>
        <w:t>1-24</w:t>
      </w:r>
      <w:r w:rsidRPr="006669CF">
        <w:rPr>
          <w:b w:val="0"/>
          <w:bCs/>
        </w:rPr>
        <w:t>. ISSN 2340-860X</w:t>
      </w:r>
      <w:r>
        <w:rPr>
          <w:b w:val="0"/>
          <w:bCs/>
        </w:rPr>
        <w:t>.</w:t>
      </w:r>
    </w:p>
    <w:p w14:paraId="4EEB56BB" w14:textId="77777777" w:rsidR="006669CF" w:rsidRPr="006669CF" w:rsidRDefault="006669CF" w:rsidP="00231CF5">
      <w:pPr>
        <w:spacing w:line="240" w:lineRule="auto"/>
        <w:ind w:left="284" w:hanging="284"/>
        <w:rPr>
          <w:rFonts w:cs="Times New Roman"/>
          <w:b w:val="0"/>
        </w:rPr>
      </w:pPr>
    </w:p>
    <w:p w14:paraId="356B17DB" w14:textId="77777777" w:rsidR="00231CF5" w:rsidRDefault="00231CF5" w:rsidP="00231CF5">
      <w:pPr>
        <w:spacing w:line="240" w:lineRule="auto"/>
        <w:ind w:left="284" w:hanging="284"/>
        <w:rPr>
          <w:rStyle w:val="Hyperlink"/>
          <w:b w:val="0"/>
          <w:bCs/>
          <w:color w:val="auto"/>
        </w:rPr>
      </w:pPr>
      <w:r w:rsidRPr="00073F16">
        <w:rPr>
          <w:rFonts w:cs="Times New Roman"/>
          <w:b w:val="0"/>
        </w:rPr>
        <w:t>D</w:t>
      </w:r>
      <w:r>
        <w:rPr>
          <w:rFonts w:cs="Times New Roman"/>
          <w:b w:val="0"/>
        </w:rPr>
        <w:t>ECRETO</w:t>
      </w:r>
      <w:r w:rsidRPr="00073F16">
        <w:rPr>
          <w:rFonts w:cs="Times New Roman"/>
          <w:b w:val="0"/>
        </w:rPr>
        <w:t xml:space="preserve"> nº 19.841</w:t>
      </w:r>
      <w:r w:rsidRPr="00073F16">
        <w:rPr>
          <w:b w:val="0"/>
          <w:bCs/>
        </w:rPr>
        <w:t>/</w:t>
      </w:r>
      <w:r w:rsidRPr="00073F16">
        <w:rPr>
          <w:rFonts w:cs="Times New Roman"/>
          <w:b w:val="0"/>
        </w:rPr>
        <w:t>1945</w:t>
      </w:r>
      <w:r w:rsidRPr="00073F16">
        <w:rPr>
          <w:b w:val="0"/>
          <w:bCs/>
        </w:rPr>
        <w:t xml:space="preserve">. </w:t>
      </w:r>
      <w:r w:rsidRPr="00C40EF1">
        <w:t>Planalto.</w:t>
      </w:r>
      <w:r w:rsidRPr="00073F16">
        <w:rPr>
          <w:b w:val="0"/>
          <w:bCs/>
        </w:rPr>
        <w:t xml:space="preserve"> [Em linha]</w:t>
      </w:r>
      <w:r w:rsidRPr="00073F16">
        <w:rPr>
          <w:rFonts w:cs="Times New Roman"/>
          <w:b w:val="0"/>
        </w:rPr>
        <w:t>.</w:t>
      </w:r>
      <w:r>
        <w:rPr>
          <w:rFonts w:cs="Times New Roman"/>
          <w:b w:val="0"/>
        </w:rPr>
        <w:t xml:space="preserve"> (22-10-1945).</w:t>
      </w:r>
      <w:r w:rsidRPr="00073F16">
        <w:rPr>
          <w:rFonts w:cs="Times New Roman"/>
          <w:b w:val="0"/>
        </w:rPr>
        <w:t xml:space="preserve"> Disponível em </w:t>
      </w:r>
      <w:r w:rsidRPr="00CC5195">
        <w:rPr>
          <w:b w:val="0"/>
          <w:bCs/>
        </w:rPr>
        <w:t>http://www.planalto.gov.br/ccivil_03/decreto/1930-1949/D19841.htm</w:t>
      </w:r>
    </w:p>
    <w:p w14:paraId="687EF0D1" w14:textId="77777777" w:rsidR="00231CF5" w:rsidRDefault="00231CF5" w:rsidP="00231CF5">
      <w:pPr>
        <w:spacing w:line="240" w:lineRule="auto"/>
        <w:ind w:left="284" w:hanging="284"/>
      </w:pPr>
    </w:p>
    <w:p w14:paraId="68E96DF8" w14:textId="77777777" w:rsidR="00231CF5" w:rsidRPr="00A96814" w:rsidRDefault="00231CF5" w:rsidP="00231CF5">
      <w:pPr>
        <w:spacing w:line="240" w:lineRule="auto"/>
        <w:ind w:left="284" w:hanging="284"/>
        <w:rPr>
          <w:b w:val="0"/>
          <w:bCs/>
        </w:rPr>
      </w:pPr>
      <w:r w:rsidRPr="00E25CB3">
        <w:rPr>
          <w:b w:val="0"/>
          <w:bCs/>
        </w:rPr>
        <w:t>D</w:t>
      </w:r>
      <w:r>
        <w:rPr>
          <w:b w:val="0"/>
          <w:bCs/>
        </w:rPr>
        <w:t>ECRETO</w:t>
      </w:r>
      <w:r w:rsidRPr="00E25CB3">
        <w:rPr>
          <w:b w:val="0"/>
          <w:bCs/>
        </w:rPr>
        <w:t xml:space="preserve"> nº 99.710/1990. </w:t>
      </w:r>
      <w:r w:rsidRPr="00E25CB3">
        <w:t>Planalto</w:t>
      </w:r>
      <w:r w:rsidRPr="00E25CB3">
        <w:rPr>
          <w:b w:val="0"/>
          <w:bCs/>
        </w:rPr>
        <w:t xml:space="preserve">. [Em linha]. (21-11-1990). Disponível em </w:t>
      </w:r>
      <w:r w:rsidRPr="00CC5195">
        <w:rPr>
          <w:rFonts w:eastAsiaTheme="majorEastAsia"/>
          <w:b w:val="0"/>
          <w:bCs/>
        </w:rPr>
        <w:t>http://www.planalto.gov.br/ccivil_03/decreto/1990-1994/d99710.htm</w:t>
      </w:r>
      <w:r w:rsidRPr="00A96814">
        <w:rPr>
          <w:b w:val="0"/>
          <w:bCs/>
        </w:rPr>
        <w:t>.</w:t>
      </w:r>
    </w:p>
    <w:p w14:paraId="5E2CC072" w14:textId="77777777" w:rsidR="00231CF5" w:rsidRDefault="00231CF5" w:rsidP="00FC165D">
      <w:pPr>
        <w:pStyle w:val="Textodenotaderodap"/>
        <w:spacing w:line="240" w:lineRule="auto"/>
        <w:ind w:left="284" w:hanging="284"/>
        <w:rPr>
          <w:rFonts w:cs="Times New Roman"/>
          <w:b w:val="0"/>
          <w:sz w:val="24"/>
          <w:szCs w:val="24"/>
        </w:rPr>
      </w:pPr>
    </w:p>
    <w:p w14:paraId="2FF08475" w14:textId="77777777" w:rsidR="000B194E" w:rsidRDefault="000B194E" w:rsidP="00FC165D">
      <w:pPr>
        <w:pStyle w:val="Textodenotaderodap"/>
        <w:spacing w:line="240" w:lineRule="auto"/>
        <w:ind w:left="284" w:hanging="284"/>
        <w:rPr>
          <w:rFonts w:cs="Times New Roman"/>
          <w:b w:val="0"/>
          <w:sz w:val="24"/>
          <w:szCs w:val="24"/>
        </w:rPr>
      </w:pPr>
      <w:r w:rsidRPr="000B194E">
        <w:rPr>
          <w:rFonts w:cs="Times New Roman"/>
          <w:b w:val="0"/>
          <w:sz w:val="24"/>
          <w:szCs w:val="24"/>
        </w:rPr>
        <w:t xml:space="preserve">DIAS, Maria Berenice - </w:t>
      </w:r>
      <w:r w:rsidRPr="000B194E">
        <w:rPr>
          <w:rFonts w:cs="Times New Roman"/>
          <w:sz w:val="24"/>
          <w:szCs w:val="24"/>
        </w:rPr>
        <w:t>Manual de direito das famílias.</w:t>
      </w:r>
      <w:r w:rsidRPr="000B194E">
        <w:rPr>
          <w:rFonts w:cs="Times New Roman"/>
          <w:b w:val="0"/>
          <w:sz w:val="24"/>
          <w:szCs w:val="24"/>
        </w:rPr>
        <w:t xml:space="preserve"> São Paulo: Revista dos Tribunais, 2011.</w:t>
      </w:r>
    </w:p>
    <w:p w14:paraId="39163B98" w14:textId="77777777" w:rsidR="007172C4" w:rsidRDefault="007172C4" w:rsidP="00FC165D">
      <w:pPr>
        <w:pStyle w:val="Textodenotaderodap"/>
        <w:spacing w:line="240" w:lineRule="auto"/>
        <w:ind w:left="284" w:hanging="284"/>
        <w:rPr>
          <w:rFonts w:cs="Times New Roman"/>
          <w:b w:val="0"/>
          <w:sz w:val="24"/>
          <w:szCs w:val="24"/>
        </w:rPr>
      </w:pPr>
    </w:p>
    <w:p w14:paraId="24F90DD0" w14:textId="77777777" w:rsidR="007172C4" w:rsidRDefault="007172C4" w:rsidP="00FC165D">
      <w:pPr>
        <w:pStyle w:val="Textodenotaderodap"/>
        <w:spacing w:line="240" w:lineRule="auto"/>
        <w:ind w:left="284" w:hanging="284"/>
        <w:rPr>
          <w:rFonts w:cs="Times New Roman"/>
          <w:b w:val="0"/>
          <w:sz w:val="24"/>
          <w:szCs w:val="24"/>
        </w:rPr>
      </w:pPr>
      <w:r>
        <w:rPr>
          <w:rFonts w:cs="Times New Roman"/>
          <w:b w:val="0"/>
          <w:sz w:val="24"/>
          <w:szCs w:val="24"/>
        </w:rPr>
        <w:t xml:space="preserve">DINIZ, Maria Helena – </w:t>
      </w:r>
      <w:r w:rsidRPr="00441783">
        <w:rPr>
          <w:rFonts w:cs="Times New Roman"/>
          <w:bCs/>
          <w:sz w:val="24"/>
          <w:szCs w:val="24"/>
        </w:rPr>
        <w:t>Curso de direito civil brasileiro: Direito de Família.</w:t>
      </w:r>
      <w:r>
        <w:rPr>
          <w:rFonts w:cs="Times New Roman"/>
          <w:b w:val="0"/>
          <w:sz w:val="24"/>
          <w:szCs w:val="24"/>
        </w:rPr>
        <w:t xml:space="preserve"> Volume 5. 27ª edição. São Paulo: Saraiva, 2012.</w:t>
      </w:r>
    </w:p>
    <w:p w14:paraId="0193A501" w14:textId="77777777" w:rsidR="00764867" w:rsidRDefault="00764867" w:rsidP="00FC165D">
      <w:pPr>
        <w:pStyle w:val="Textodenotaderodap"/>
        <w:spacing w:line="240" w:lineRule="auto"/>
        <w:ind w:left="284" w:hanging="284"/>
        <w:rPr>
          <w:rFonts w:cs="Times New Roman"/>
          <w:b w:val="0"/>
          <w:sz w:val="24"/>
          <w:szCs w:val="24"/>
        </w:rPr>
      </w:pPr>
    </w:p>
    <w:p w14:paraId="182DD2EF" w14:textId="77777777" w:rsidR="00764867" w:rsidRDefault="00764867" w:rsidP="00FC165D">
      <w:pPr>
        <w:pStyle w:val="Textodenotaderodap"/>
        <w:spacing w:line="240" w:lineRule="auto"/>
        <w:ind w:left="284" w:hanging="284"/>
        <w:rPr>
          <w:rFonts w:cs="Times New Roman"/>
          <w:b w:val="0"/>
          <w:sz w:val="24"/>
          <w:szCs w:val="24"/>
        </w:rPr>
      </w:pPr>
      <w:r>
        <w:rPr>
          <w:rFonts w:cs="Times New Roman"/>
          <w:b w:val="0"/>
          <w:sz w:val="24"/>
          <w:szCs w:val="24"/>
        </w:rPr>
        <w:t xml:space="preserve">______ - </w:t>
      </w:r>
      <w:r w:rsidRPr="00764867">
        <w:rPr>
          <w:rFonts w:cs="Times New Roman"/>
          <w:bCs/>
          <w:sz w:val="24"/>
          <w:szCs w:val="24"/>
        </w:rPr>
        <w:t>O estado atual do Biodireito.</w:t>
      </w:r>
      <w:r>
        <w:rPr>
          <w:rFonts w:cs="Times New Roman"/>
          <w:b w:val="0"/>
          <w:sz w:val="24"/>
          <w:szCs w:val="24"/>
        </w:rPr>
        <w:t xml:space="preserve"> São Paulo: Saraiva, 2007.</w:t>
      </w:r>
    </w:p>
    <w:p w14:paraId="3101DDD0" w14:textId="77777777" w:rsidR="00120A11" w:rsidRDefault="00120A11" w:rsidP="00FC165D">
      <w:pPr>
        <w:pStyle w:val="Textodenotaderodap"/>
        <w:spacing w:line="240" w:lineRule="auto"/>
        <w:ind w:left="284" w:hanging="284"/>
        <w:rPr>
          <w:rFonts w:cs="Times New Roman"/>
          <w:b w:val="0"/>
          <w:sz w:val="24"/>
          <w:szCs w:val="24"/>
        </w:rPr>
      </w:pPr>
    </w:p>
    <w:p w14:paraId="23C6C34C" w14:textId="77777777" w:rsidR="002C2110" w:rsidRPr="00F64802" w:rsidRDefault="002C2110" w:rsidP="00FC165D">
      <w:pPr>
        <w:spacing w:line="240" w:lineRule="auto"/>
        <w:ind w:left="284" w:hanging="284"/>
        <w:rPr>
          <w:rFonts w:cs="Times New Roman"/>
          <w:b w:val="0"/>
        </w:rPr>
      </w:pPr>
      <w:r>
        <w:rPr>
          <w:rFonts w:cs="Times New Roman"/>
          <w:b w:val="0"/>
        </w:rPr>
        <w:t xml:space="preserve">FACHIN, Luiz Edson – </w:t>
      </w:r>
      <w:r w:rsidRPr="002C2110">
        <w:rPr>
          <w:rFonts w:cs="Times New Roman"/>
          <w:bCs/>
        </w:rPr>
        <w:t>Comentários ao novo Código Civil: do direito de família, do direito pessoal, das relações de parentesco.</w:t>
      </w:r>
      <w:r>
        <w:rPr>
          <w:rFonts w:cs="Times New Roman"/>
          <w:b w:val="0"/>
        </w:rPr>
        <w:t xml:space="preserve"> Volume XVIII. Rio de Janeiro: Forense, 2004.</w:t>
      </w:r>
    </w:p>
    <w:p w14:paraId="1B3EF31C" w14:textId="77777777" w:rsidR="000B194E" w:rsidRPr="000B194E" w:rsidRDefault="000B194E" w:rsidP="00FC165D">
      <w:pPr>
        <w:pStyle w:val="Textodenotaderodap"/>
        <w:spacing w:line="240" w:lineRule="auto"/>
        <w:ind w:left="284" w:hanging="284"/>
        <w:rPr>
          <w:rFonts w:cs="Times New Roman"/>
          <w:b w:val="0"/>
          <w:sz w:val="24"/>
          <w:szCs w:val="24"/>
        </w:rPr>
      </w:pPr>
    </w:p>
    <w:p w14:paraId="29840F9E" w14:textId="617010AD" w:rsidR="000B194E" w:rsidRDefault="000B194E" w:rsidP="00FC165D">
      <w:pPr>
        <w:pStyle w:val="Textodenotaderodap"/>
        <w:spacing w:line="240" w:lineRule="auto"/>
        <w:ind w:left="284" w:hanging="284"/>
        <w:rPr>
          <w:rFonts w:cs="Times New Roman"/>
          <w:b w:val="0"/>
          <w:sz w:val="24"/>
          <w:szCs w:val="24"/>
        </w:rPr>
      </w:pPr>
      <w:r w:rsidRPr="000B194E">
        <w:rPr>
          <w:rFonts w:cs="Times New Roman"/>
          <w:b w:val="0"/>
          <w:sz w:val="24"/>
          <w:szCs w:val="24"/>
        </w:rPr>
        <w:t xml:space="preserve">FARIAS, Cristiano Chaves de; ROSENVALD, Nelson - </w:t>
      </w:r>
      <w:r w:rsidRPr="000B194E">
        <w:rPr>
          <w:rFonts w:cs="Times New Roman"/>
          <w:sz w:val="24"/>
          <w:szCs w:val="24"/>
        </w:rPr>
        <w:t>Curso de Direito Civil</w:t>
      </w:r>
      <w:r w:rsidR="00887E83">
        <w:rPr>
          <w:rFonts w:cs="Times New Roman"/>
          <w:sz w:val="24"/>
          <w:szCs w:val="24"/>
        </w:rPr>
        <w:t xml:space="preserve">: </w:t>
      </w:r>
      <w:r w:rsidRPr="000B194E">
        <w:rPr>
          <w:rFonts w:cs="Times New Roman"/>
          <w:sz w:val="24"/>
          <w:szCs w:val="24"/>
        </w:rPr>
        <w:t>Famílias.</w:t>
      </w:r>
      <w:r w:rsidR="00887E83">
        <w:rPr>
          <w:rFonts w:cs="Times New Roman"/>
          <w:sz w:val="24"/>
          <w:szCs w:val="24"/>
        </w:rPr>
        <w:t xml:space="preserve"> </w:t>
      </w:r>
      <w:r w:rsidR="00887E83" w:rsidRPr="00887E83">
        <w:rPr>
          <w:rFonts w:cs="Times New Roman"/>
          <w:b w:val="0"/>
          <w:bCs/>
          <w:sz w:val="24"/>
          <w:szCs w:val="24"/>
        </w:rPr>
        <w:t>Volume 6.</w:t>
      </w:r>
      <w:r w:rsidRPr="000B194E">
        <w:rPr>
          <w:rFonts w:cs="Times New Roman"/>
          <w:b w:val="0"/>
          <w:sz w:val="24"/>
          <w:szCs w:val="24"/>
        </w:rPr>
        <w:t xml:space="preserve"> 7</w:t>
      </w:r>
      <w:r w:rsidR="004807FF">
        <w:rPr>
          <w:rFonts w:cs="Times New Roman"/>
          <w:b w:val="0"/>
          <w:sz w:val="24"/>
          <w:szCs w:val="24"/>
        </w:rPr>
        <w:t>ª</w:t>
      </w:r>
      <w:r w:rsidRPr="000B194E">
        <w:rPr>
          <w:rFonts w:cs="Times New Roman"/>
          <w:b w:val="0"/>
          <w:sz w:val="24"/>
          <w:szCs w:val="24"/>
        </w:rPr>
        <w:t xml:space="preserve"> ed</w:t>
      </w:r>
      <w:r w:rsidR="004807FF">
        <w:rPr>
          <w:rFonts w:cs="Times New Roman"/>
          <w:b w:val="0"/>
          <w:sz w:val="24"/>
          <w:szCs w:val="24"/>
        </w:rPr>
        <w:t>ição</w:t>
      </w:r>
      <w:r w:rsidRPr="000B194E">
        <w:rPr>
          <w:rFonts w:cs="Times New Roman"/>
          <w:b w:val="0"/>
          <w:sz w:val="24"/>
          <w:szCs w:val="24"/>
        </w:rPr>
        <w:t>. São Paulo: Editora Atlas, 2015.</w:t>
      </w:r>
    </w:p>
    <w:p w14:paraId="4A57E662" w14:textId="77777777" w:rsidR="007433DC" w:rsidRDefault="007433DC" w:rsidP="007433DC">
      <w:pPr>
        <w:pStyle w:val="Ttulo1"/>
        <w:numPr>
          <w:ilvl w:val="0"/>
          <w:numId w:val="0"/>
        </w:numPr>
        <w:spacing w:line="240" w:lineRule="auto"/>
        <w:rPr>
          <w:b w:val="0"/>
          <w:bCs w:val="0"/>
          <w:sz w:val="20"/>
          <w:szCs w:val="20"/>
        </w:rPr>
      </w:pPr>
    </w:p>
    <w:p w14:paraId="292E0A1B" w14:textId="77777777" w:rsidR="007433DC" w:rsidRDefault="007433DC" w:rsidP="007433DC">
      <w:pPr>
        <w:pStyle w:val="Ttulo1"/>
        <w:numPr>
          <w:ilvl w:val="0"/>
          <w:numId w:val="0"/>
        </w:numPr>
        <w:spacing w:line="240" w:lineRule="auto"/>
        <w:ind w:left="284" w:hanging="284"/>
        <w:rPr>
          <w:b w:val="0"/>
          <w:bCs w:val="0"/>
          <w:szCs w:val="24"/>
        </w:rPr>
      </w:pPr>
      <w:bookmarkStart w:id="77" w:name="_Toc20302863"/>
      <w:bookmarkStart w:id="78" w:name="_Toc28034670"/>
      <w:r w:rsidRPr="007433DC">
        <w:rPr>
          <w:b w:val="0"/>
          <w:bCs w:val="0"/>
          <w:szCs w:val="24"/>
        </w:rPr>
        <w:t xml:space="preserve">FARIAS, Cristiano Chaves de; ROSENVALD, Nelson – </w:t>
      </w:r>
      <w:r w:rsidRPr="007433DC">
        <w:rPr>
          <w:szCs w:val="24"/>
        </w:rPr>
        <w:t>Direito das famílias de acordo com a Lei nº 11.340/06 – Lei Maria da Penha e com a Lei nº 11.441/06 – Lei da Separação, Divórcio e Inventário Extrajudiciais.</w:t>
      </w:r>
      <w:r w:rsidRPr="007433DC">
        <w:rPr>
          <w:b w:val="0"/>
          <w:bCs w:val="0"/>
          <w:szCs w:val="24"/>
        </w:rPr>
        <w:t xml:space="preserve"> Rio de Janeiro: Editora </w:t>
      </w:r>
      <w:proofErr w:type="spellStart"/>
      <w:r w:rsidRPr="007433DC">
        <w:rPr>
          <w:b w:val="0"/>
          <w:bCs w:val="0"/>
          <w:szCs w:val="24"/>
        </w:rPr>
        <w:t>Lumen</w:t>
      </w:r>
      <w:proofErr w:type="spellEnd"/>
      <w:r w:rsidRPr="007433DC">
        <w:rPr>
          <w:b w:val="0"/>
          <w:bCs w:val="0"/>
          <w:szCs w:val="24"/>
        </w:rPr>
        <w:t xml:space="preserve"> Juris, 2008.</w:t>
      </w:r>
      <w:bookmarkEnd w:id="77"/>
      <w:bookmarkEnd w:id="78"/>
    </w:p>
    <w:p w14:paraId="664672BE" w14:textId="77777777" w:rsidR="00B44C6F" w:rsidRDefault="00B44C6F" w:rsidP="00B44C6F"/>
    <w:p w14:paraId="37ACC10F" w14:textId="77777777" w:rsidR="00B44C6F" w:rsidRPr="00B44C6F" w:rsidRDefault="00B44C6F" w:rsidP="00B44C6F">
      <w:pPr>
        <w:spacing w:line="240" w:lineRule="auto"/>
        <w:ind w:left="284" w:hanging="284"/>
        <w:rPr>
          <w:b w:val="0"/>
          <w:bCs/>
        </w:rPr>
      </w:pPr>
      <w:r w:rsidRPr="00B44C6F">
        <w:rPr>
          <w:b w:val="0"/>
          <w:bCs/>
        </w:rPr>
        <w:t xml:space="preserve">FERNANDES, Silvia da Cunha – </w:t>
      </w:r>
      <w:r w:rsidRPr="00B44C6F">
        <w:t>As técnicas de reprodução humana assistida e a necessidade de sua regulamentação jurídica.</w:t>
      </w:r>
      <w:r w:rsidRPr="00B44C6F">
        <w:rPr>
          <w:b w:val="0"/>
          <w:bCs/>
        </w:rPr>
        <w:t xml:space="preserve"> Rio de Janeiro: Renovar, 2005.</w:t>
      </w:r>
    </w:p>
    <w:p w14:paraId="797734B6" w14:textId="77777777" w:rsidR="007433DC" w:rsidRDefault="007433DC" w:rsidP="007433DC">
      <w:pPr>
        <w:pStyle w:val="Ttulo1"/>
        <w:numPr>
          <w:ilvl w:val="0"/>
          <w:numId w:val="0"/>
        </w:numPr>
        <w:spacing w:line="240" w:lineRule="auto"/>
        <w:rPr>
          <w:b w:val="0"/>
          <w:bCs w:val="0"/>
          <w:szCs w:val="24"/>
        </w:rPr>
      </w:pPr>
    </w:p>
    <w:p w14:paraId="6D2E2945" w14:textId="77777777" w:rsidR="00712F4A" w:rsidRDefault="00712F4A" w:rsidP="00FC165D">
      <w:pPr>
        <w:pStyle w:val="Textodenotaderodap"/>
        <w:spacing w:line="240" w:lineRule="auto"/>
        <w:ind w:left="284" w:hanging="284"/>
        <w:rPr>
          <w:rFonts w:cs="Times New Roman"/>
          <w:b w:val="0"/>
          <w:sz w:val="24"/>
          <w:szCs w:val="24"/>
        </w:rPr>
      </w:pPr>
      <w:r>
        <w:rPr>
          <w:rFonts w:cs="Times New Roman"/>
          <w:b w:val="0"/>
          <w:sz w:val="24"/>
          <w:szCs w:val="24"/>
        </w:rPr>
        <w:t xml:space="preserve">FERRARI, Regina Maria Macedo Nery – </w:t>
      </w:r>
      <w:r w:rsidRPr="00DB1C86">
        <w:rPr>
          <w:rFonts w:cs="Times New Roman"/>
          <w:bCs/>
          <w:sz w:val="24"/>
          <w:szCs w:val="24"/>
        </w:rPr>
        <w:t>Direito Constitucional.</w:t>
      </w:r>
      <w:r>
        <w:rPr>
          <w:rFonts w:cs="Times New Roman"/>
          <w:b w:val="0"/>
          <w:sz w:val="24"/>
          <w:szCs w:val="24"/>
        </w:rPr>
        <w:t xml:space="preserve"> São Paulo: Editora Revista dos Tribunais, 2011.</w:t>
      </w:r>
    </w:p>
    <w:p w14:paraId="1EF21F59" w14:textId="77777777" w:rsidR="00753CA2" w:rsidRDefault="00753CA2" w:rsidP="00FC165D">
      <w:pPr>
        <w:pStyle w:val="Textodenotaderodap"/>
        <w:spacing w:line="240" w:lineRule="auto"/>
        <w:ind w:left="284" w:hanging="284"/>
        <w:rPr>
          <w:rFonts w:cs="Times New Roman"/>
          <w:b w:val="0"/>
          <w:sz w:val="24"/>
          <w:szCs w:val="24"/>
        </w:rPr>
      </w:pPr>
    </w:p>
    <w:p w14:paraId="49A966BC" w14:textId="77777777" w:rsidR="00753CA2" w:rsidRDefault="00753CA2" w:rsidP="00FC165D">
      <w:pPr>
        <w:pStyle w:val="Textodenotaderodap"/>
        <w:spacing w:line="240" w:lineRule="auto"/>
        <w:ind w:left="284" w:hanging="284"/>
        <w:rPr>
          <w:rFonts w:cs="Times New Roman"/>
          <w:b w:val="0"/>
          <w:sz w:val="24"/>
          <w:szCs w:val="24"/>
        </w:rPr>
      </w:pPr>
      <w:r>
        <w:rPr>
          <w:rFonts w:cs="Times New Roman"/>
          <w:b w:val="0"/>
          <w:sz w:val="24"/>
          <w:szCs w:val="24"/>
        </w:rPr>
        <w:t xml:space="preserve">FERREIRA, Lucia Maria Teixeira – Comentários aos artigos 1.591 a 1.617 do Código Civil de 2002. In LEITE, Heloisa Maria Daltro (coord.). </w:t>
      </w:r>
      <w:r w:rsidRPr="00753CA2">
        <w:rPr>
          <w:rFonts w:cs="Times New Roman"/>
          <w:bCs/>
          <w:sz w:val="24"/>
          <w:szCs w:val="24"/>
        </w:rPr>
        <w:t>O novo Código Civil: Do Direito de Família</w:t>
      </w:r>
      <w:r>
        <w:rPr>
          <w:rFonts w:cs="Times New Roman"/>
          <w:b w:val="0"/>
          <w:sz w:val="24"/>
          <w:szCs w:val="24"/>
        </w:rPr>
        <w:t>. Rio de Janeiro: Freitas Bastos, 2002.</w:t>
      </w:r>
    </w:p>
    <w:p w14:paraId="02D70621" w14:textId="77777777" w:rsidR="00712F4A" w:rsidRPr="000B194E" w:rsidRDefault="00712F4A" w:rsidP="00FC165D">
      <w:pPr>
        <w:pStyle w:val="Textodenotaderodap"/>
        <w:spacing w:line="240" w:lineRule="auto"/>
        <w:ind w:left="284" w:hanging="284"/>
        <w:rPr>
          <w:rFonts w:cs="Times New Roman"/>
          <w:b w:val="0"/>
          <w:sz w:val="24"/>
          <w:szCs w:val="24"/>
        </w:rPr>
      </w:pPr>
    </w:p>
    <w:p w14:paraId="0E12CC93" w14:textId="77777777" w:rsidR="000B194E" w:rsidRPr="000B194E" w:rsidRDefault="000B194E" w:rsidP="00FC165D">
      <w:pPr>
        <w:pStyle w:val="Textodenotaderodap"/>
        <w:spacing w:line="240" w:lineRule="auto"/>
        <w:ind w:left="284" w:hanging="284"/>
        <w:rPr>
          <w:rFonts w:cs="Times New Roman"/>
          <w:b w:val="0"/>
          <w:sz w:val="24"/>
          <w:szCs w:val="24"/>
        </w:rPr>
      </w:pPr>
      <w:r w:rsidRPr="000B194E">
        <w:rPr>
          <w:rFonts w:cs="Times New Roman"/>
          <w:b w:val="0"/>
          <w:sz w:val="24"/>
          <w:szCs w:val="24"/>
        </w:rPr>
        <w:t xml:space="preserve">FUJITA, Jorge </w:t>
      </w:r>
      <w:proofErr w:type="spellStart"/>
      <w:r w:rsidRPr="000B194E">
        <w:rPr>
          <w:rFonts w:cs="Times New Roman"/>
          <w:b w:val="0"/>
          <w:sz w:val="24"/>
          <w:szCs w:val="24"/>
        </w:rPr>
        <w:t>Shiguemitsu</w:t>
      </w:r>
      <w:proofErr w:type="spellEnd"/>
      <w:r w:rsidRPr="000B194E">
        <w:rPr>
          <w:rFonts w:cs="Times New Roman"/>
          <w:b w:val="0"/>
          <w:sz w:val="24"/>
          <w:szCs w:val="24"/>
        </w:rPr>
        <w:t xml:space="preserve"> - </w:t>
      </w:r>
      <w:r w:rsidRPr="000B194E">
        <w:rPr>
          <w:rFonts w:cs="Times New Roman"/>
          <w:sz w:val="24"/>
          <w:szCs w:val="24"/>
        </w:rPr>
        <w:t>Filiação.</w:t>
      </w:r>
      <w:r w:rsidRPr="000B194E">
        <w:rPr>
          <w:rFonts w:cs="Times New Roman"/>
          <w:b w:val="0"/>
          <w:sz w:val="24"/>
          <w:szCs w:val="24"/>
        </w:rPr>
        <w:t xml:space="preserve"> São Paulo: Atlas, 2011.</w:t>
      </w:r>
    </w:p>
    <w:p w14:paraId="023ED9CF" w14:textId="77777777" w:rsidR="000B194E" w:rsidRPr="000B194E" w:rsidRDefault="000B194E" w:rsidP="00FC165D">
      <w:pPr>
        <w:pStyle w:val="Textodenotaderodap"/>
        <w:spacing w:line="240" w:lineRule="auto"/>
        <w:ind w:left="284" w:hanging="284"/>
        <w:rPr>
          <w:rFonts w:cs="Times New Roman"/>
          <w:b w:val="0"/>
          <w:sz w:val="24"/>
          <w:szCs w:val="24"/>
        </w:rPr>
      </w:pPr>
    </w:p>
    <w:p w14:paraId="5FCB8156" w14:textId="77777777" w:rsidR="000B194E" w:rsidRPr="000B194E" w:rsidRDefault="000B194E" w:rsidP="00FC165D">
      <w:pPr>
        <w:pStyle w:val="Textodenotaderodap"/>
        <w:spacing w:line="240" w:lineRule="auto"/>
        <w:ind w:left="284" w:hanging="284"/>
        <w:rPr>
          <w:rFonts w:cs="Times New Roman"/>
          <w:b w:val="0"/>
          <w:sz w:val="24"/>
          <w:szCs w:val="24"/>
        </w:rPr>
      </w:pPr>
      <w:r w:rsidRPr="000B194E">
        <w:rPr>
          <w:rFonts w:cs="Times New Roman"/>
          <w:b w:val="0"/>
          <w:sz w:val="24"/>
          <w:szCs w:val="24"/>
        </w:rPr>
        <w:t xml:space="preserve">GAMA, Guilherme Calmon Nogueira da - </w:t>
      </w:r>
      <w:r w:rsidRPr="000B194E">
        <w:rPr>
          <w:rFonts w:cs="Times New Roman"/>
          <w:sz w:val="24"/>
          <w:szCs w:val="24"/>
        </w:rPr>
        <w:t>A nova filiação: o biodireito e as relações parentais: o estabelecimento da parentalidade-filiação e os efeitos jurídicos da reprodução assistida heteróloga.</w:t>
      </w:r>
      <w:r w:rsidRPr="000B194E">
        <w:rPr>
          <w:rFonts w:cs="Times New Roman"/>
          <w:b w:val="0"/>
          <w:sz w:val="24"/>
          <w:szCs w:val="24"/>
        </w:rPr>
        <w:t xml:space="preserve"> Rio de Janeiro: Renovar, 2003.</w:t>
      </w:r>
    </w:p>
    <w:p w14:paraId="1D2DB954" w14:textId="77777777" w:rsidR="000B194E" w:rsidRDefault="000B194E" w:rsidP="00FC165D">
      <w:pPr>
        <w:pStyle w:val="Textodenotaderodap"/>
        <w:spacing w:line="240" w:lineRule="auto"/>
        <w:ind w:left="284" w:hanging="284"/>
        <w:rPr>
          <w:rFonts w:cs="Times New Roman"/>
          <w:b w:val="0"/>
          <w:sz w:val="24"/>
          <w:szCs w:val="24"/>
        </w:rPr>
      </w:pPr>
    </w:p>
    <w:p w14:paraId="7E2B935E" w14:textId="77777777" w:rsidR="00D350C6" w:rsidRDefault="00D350C6" w:rsidP="00FC165D">
      <w:pPr>
        <w:pStyle w:val="Textodenotaderodap"/>
        <w:spacing w:line="240" w:lineRule="auto"/>
        <w:ind w:left="284" w:hanging="284"/>
        <w:rPr>
          <w:rFonts w:cs="Times New Roman"/>
          <w:b w:val="0"/>
          <w:sz w:val="24"/>
          <w:szCs w:val="24"/>
        </w:rPr>
      </w:pPr>
      <w:r>
        <w:rPr>
          <w:rFonts w:cs="Times New Roman"/>
          <w:b w:val="0"/>
          <w:sz w:val="24"/>
          <w:szCs w:val="24"/>
        </w:rPr>
        <w:t xml:space="preserve">GOMES, Orlando - </w:t>
      </w:r>
      <w:r w:rsidRPr="00D350C6">
        <w:rPr>
          <w:rFonts w:cs="Times New Roman"/>
          <w:bCs/>
          <w:sz w:val="24"/>
          <w:szCs w:val="24"/>
        </w:rPr>
        <w:t>Direito de Família.</w:t>
      </w:r>
      <w:r>
        <w:rPr>
          <w:rFonts w:cs="Times New Roman"/>
          <w:b w:val="0"/>
          <w:sz w:val="24"/>
          <w:szCs w:val="24"/>
        </w:rPr>
        <w:t xml:space="preserve"> 7ª edição. Rio de Janeiro: Forense, 1993.</w:t>
      </w:r>
    </w:p>
    <w:p w14:paraId="68C184C4" w14:textId="77777777" w:rsidR="00D350C6" w:rsidRPr="000B194E" w:rsidRDefault="00D350C6" w:rsidP="00FC165D">
      <w:pPr>
        <w:pStyle w:val="Textodenotaderodap"/>
        <w:spacing w:line="240" w:lineRule="auto"/>
        <w:ind w:left="284" w:hanging="284"/>
        <w:rPr>
          <w:rFonts w:cs="Times New Roman"/>
          <w:b w:val="0"/>
          <w:sz w:val="24"/>
          <w:szCs w:val="24"/>
        </w:rPr>
      </w:pPr>
    </w:p>
    <w:p w14:paraId="630F4AB6" w14:textId="77777777" w:rsidR="000B194E" w:rsidRDefault="000B194E" w:rsidP="00FC165D">
      <w:pPr>
        <w:pStyle w:val="Textodenotaderodap"/>
        <w:spacing w:line="240" w:lineRule="auto"/>
        <w:ind w:left="284" w:hanging="284"/>
        <w:rPr>
          <w:rFonts w:cs="Times New Roman"/>
          <w:b w:val="0"/>
          <w:sz w:val="24"/>
          <w:szCs w:val="24"/>
        </w:rPr>
      </w:pPr>
      <w:r w:rsidRPr="000B194E">
        <w:rPr>
          <w:rFonts w:cs="Times New Roman"/>
          <w:b w:val="0"/>
          <w:sz w:val="24"/>
          <w:szCs w:val="24"/>
        </w:rPr>
        <w:t xml:space="preserve">GONÇALVES, Carlos Roberto - </w:t>
      </w:r>
      <w:r w:rsidRPr="000B194E">
        <w:rPr>
          <w:rFonts w:cs="Times New Roman"/>
          <w:sz w:val="24"/>
          <w:szCs w:val="24"/>
        </w:rPr>
        <w:t>Direito de Família.</w:t>
      </w:r>
      <w:r w:rsidRPr="000B194E">
        <w:rPr>
          <w:rFonts w:cs="Times New Roman"/>
          <w:b w:val="0"/>
          <w:sz w:val="24"/>
          <w:szCs w:val="24"/>
        </w:rPr>
        <w:t xml:space="preserve"> São Paulo: Saraiva, 2011.</w:t>
      </w:r>
    </w:p>
    <w:p w14:paraId="5CB21D74" w14:textId="77777777" w:rsidR="00092F03" w:rsidRDefault="00092F03" w:rsidP="00FC165D">
      <w:pPr>
        <w:pStyle w:val="Textodenotaderodap"/>
        <w:spacing w:line="240" w:lineRule="auto"/>
        <w:ind w:left="284" w:hanging="284"/>
        <w:rPr>
          <w:rFonts w:cs="Times New Roman"/>
          <w:b w:val="0"/>
          <w:sz w:val="24"/>
          <w:szCs w:val="24"/>
        </w:rPr>
      </w:pPr>
    </w:p>
    <w:p w14:paraId="3820D637" w14:textId="77777777" w:rsidR="00092F03" w:rsidRDefault="00092F03" w:rsidP="00FC165D">
      <w:pPr>
        <w:pStyle w:val="Textodenotaderodap"/>
        <w:spacing w:line="240" w:lineRule="auto"/>
        <w:ind w:left="284" w:hanging="284"/>
        <w:rPr>
          <w:rFonts w:cs="Times New Roman"/>
          <w:b w:val="0"/>
          <w:sz w:val="24"/>
          <w:szCs w:val="24"/>
        </w:rPr>
      </w:pPr>
      <w:r>
        <w:rPr>
          <w:rFonts w:cs="Times New Roman"/>
          <w:b w:val="0"/>
          <w:sz w:val="24"/>
          <w:szCs w:val="24"/>
        </w:rPr>
        <w:t xml:space="preserve">HESSE, Konrad – </w:t>
      </w:r>
      <w:r w:rsidRPr="001D0107">
        <w:rPr>
          <w:rFonts w:cs="Times New Roman"/>
          <w:bCs/>
          <w:sz w:val="24"/>
          <w:szCs w:val="24"/>
        </w:rPr>
        <w:t>Elementos de Direito Constitucional da República Federal da Alemanha.</w:t>
      </w:r>
      <w:r>
        <w:rPr>
          <w:rFonts w:cs="Times New Roman"/>
          <w:b w:val="0"/>
          <w:sz w:val="24"/>
          <w:szCs w:val="24"/>
        </w:rPr>
        <w:t xml:space="preserve"> 20ª edição. Porto Alegre: Fabris, 1998.</w:t>
      </w:r>
    </w:p>
    <w:p w14:paraId="5EC6C51C" w14:textId="77777777" w:rsidR="0080008A" w:rsidRDefault="0080008A" w:rsidP="00FC165D">
      <w:pPr>
        <w:pStyle w:val="Textodenotaderodap"/>
        <w:spacing w:line="240" w:lineRule="auto"/>
        <w:ind w:left="284" w:hanging="284"/>
        <w:rPr>
          <w:rFonts w:cs="Times New Roman"/>
          <w:b w:val="0"/>
          <w:sz w:val="24"/>
          <w:szCs w:val="24"/>
        </w:rPr>
      </w:pPr>
    </w:p>
    <w:p w14:paraId="0A84A7CE" w14:textId="77777777" w:rsidR="00B2346F" w:rsidRDefault="0080008A" w:rsidP="00FC165D">
      <w:pPr>
        <w:pStyle w:val="Textodenotaderodap"/>
        <w:spacing w:line="240" w:lineRule="auto"/>
        <w:ind w:left="284" w:hanging="284"/>
        <w:rPr>
          <w:rFonts w:cs="Times New Roman"/>
          <w:b w:val="0"/>
          <w:sz w:val="24"/>
          <w:szCs w:val="24"/>
        </w:rPr>
      </w:pPr>
      <w:r>
        <w:rPr>
          <w:rFonts w:cs="Times New Roman"/>
          <w:b w:val="0"/>
          <w:sz w:val="24"/>
          <w:szCs w:val="24"/>
        </w:rPr>
        <w:t xml:space="preserve">KANT, Immanuel – Fundamentação da metafísica dos costumes e outros escritos. São Paulo: Martin </w:t>
      </w:r>
      <w:proofErr w:type="spellStart"/>
      <w:r>
        <w:rPr>
          <w:rFonts w:cs="Times New Roman"/>
          <w:b w:val="0"/>
          <w:sz w:val="24"/>
          <w:szCs w:val="24"/>
        </w:rPr>
        <w:t>Claret</w:t>
      </w:r>
      <w:proofErr w:type="spellEnd"/>
      <w:r>
        <w:rPr>
          <w:rFonts w:cs="Times New Roman"/>
          <w:b w:val="0"/>
          <w:sz w:val="24"/>
          <w:szCs w:val="24"/>
        </w:rPr>
        <w:t>, 2002.</w:t>
      </w:r>
    </w:p>
    <w:p w14:paraId="1E263B24" w14:textId="77777777" w:rsidR="00B2346F" w:rsidRDefault="00B2346F" w:rsidP="00FC165D">
      <w:pPr>
        <w:pStyle w:val="Textodenotaderodap"/>
        <w:spacing w:line="240" w:lineRule="auto"/>
        <w:ind w:left="284" w:hanging="284"/>
        <w:rPr>
          <w:rFonts w:cs="Times New Roman"/>
          <w:b w:val="0"/>
          <w:sz w:val="24"/>
          <w:szCs w:val="24"/>
        </w:rPr>
      </w:pPr>
    </w:p>
    <w:p w14:paraId="3BB79B7C" w14:textId="77777777" w:rsidR="00B2346F" w:rsidRDefault="00B2346F" w:rsidP="00FC165D">
      <w:pPr>
        <w:pStyle w:val="Textodenotaderodap"/>
        <w:spacing w:line="240" w:lineRule="auto"/>
        <w:ind w:left="284" w:hanging="284"/>
        <w:rPr>
          <w:b w:val="0"/>
          <w:bCs/>
          <w:sz w:val="24"/>
          <w:szCs w:val="24"/>
        </w:rPr>
      </w:pPr>
      <w:r w:rsidRPr="00B2346F">
        <w:rPr>
          <w:b w:val="0"/>
          <w:bCs/>
          <w:sz w:val="24"/>
          <w:szCs w:val="24"/>
        </w:rPr>
        <w:t xml:space="preserve">KASHIWAGI, Erika Kazumi – O reconhecimento de filho nos registros civis das pessoas naturais como garantia dos direitos fundamentais. In XXVI Encontro Nacional do CONPEDI Brasília/DF – </w:t>
      </w:r>
      <w:r w:rsidRPr="00B2346F">
        <w:rPr>
          <w:sz w:val="24"/>
          <w:szCs w:val="24"/>
        </w:rPr>
        <w:t>Direitos e Garantias Fundamentais III</w:t>
      </w:r>
      <w:r w:rsidRPr="00B2346F">
        <w:rPr>
          <w:b w:val="0"/>
          <w:bCs/>
          <w:sz w:val="24"/>
          <w:szCs w:val="24"/>
        </w:rPr>
        <w:t>. Brasília: CONPEDI, 2017.</w:t>
      </w:r>
    </w:p>
    <w:p w14:paraId="0DD4C1DC" w14:textId="77777777" w:rsidR="00231CF5" w:rsidRDefault="00231CF5" w:rsidP="00FC165D">
      <w:pPr>
        <w:pStyle w:val="Textodenotaderodap"/>
        <w:spacing w:line="240" w:lineRule="auto"/>
        <w:ind w:left="284" w:hanging="284"/>
        <w:rPr>
          <w:b w:val="0"/>
          <w:bCs/>
          <w:sz w:val="24"/>
          <w:szCs w:val="24"/>
        </w:rPr>
      </w:pPr>
    </w:p>
    <w:p w14:paraId="361DD849" w14:textId="77777777" w:rsidR="00231CF5" w:rsidRPr="00A96814" w:rsidRDefault="00231CF5" w:rsidP="00231CF5">
      <w:pPr>
        <w:spacing w:line="240" w:lineRule="auto"/>
        <w:ind w:left="284" w:hanging="284"/>
        <w:rPr>
          <w:b w:val="0"/>
        </w:rPr>
      </w:pPr>
      <w:r>
        <w:rPr>
          <w:rFonts w:cs="Times New Roman"/>
          <w:b w:val="0"/>
        </w:rPr>
        <w:t>LEI n° 32/2006</w:t>
      </w:r>
      <w:r w:rsidRPr="00562AFB">
        <w:rPr>
          <w:rFonts w:cs="Times New Roman"/>
          <w:b w:val="0"/>
        </w:rPr>
        <w:t xml:space="preserve">. </w:t>
      </w:r>
      <w:r w:rsidRPr="00562AFB">
        <w:rPr>
          <w:rFonts w:cs="Times New Roman"/>
        </w:rPr>
        <w:t>Diário da República, I Série.</w:t>
      </w:r>
      <w:r w:rsidRPr="00562AFB">
        <w:rPr>
          <w:rFonts w:cs="Times New Roman"/>
          <w:b w:val="0"/>
        </w:rPr>
        <w:t xml:space="preserve"> [Em linha]. Nº </w:t>
      </w:r>
      <w:r>
        <w:rPr>
          <w:rFonts w:cs="Times New Roman"/>
          <w:b w:val="0"/>
        </w:rPr>
        <w:t>143</w:t>
      </w:r>
      <w:r w:rsidRPr="00562AFB">
        <w:rPr>
          <w:rFonts w:cs="Times New Roman"/>
          <w:b w:val="0"/>
        </w:rPr>
        <w:t xml:space="preserve"> (2</w:t>
      </w:r>
      <w:r>
        <w:rPr>
          <w:rFonts w:cs="Times New Roman"/>
          <w:b w:val="0"/>
        </w:rPr>
        <w:t>6</w:t>
      </w:r>
      <w:r w:rsidRPr="00562AFB">
        <w:rPr>
          <w:rFonts w:cs="Times New Roman"/>
          <w:b w:val="0"/>
        </w:rPr>
        <w:t>-</w:t>
      </w:r>
      <w:r>
        <w:rPr>
          <w:rFonts w:cs="Times New Roman"/>
          <w:b w:val="0"/>
        </w:rPr>
        <w:t>07</w:t>
      </w:r>
      <w:r w:rsidRPr="00562AFB">
        <w:rPr>
          <w:rFonts w:cs="Times New Roman"/>
          <w:b w:val="0"/>
        </w:rPr>
        <w:t>-</w:t>
      </w:r>
      <w:r>
        <w:rPr>
          <w:rFonts w:cs="Times New Roman"/>
          <w:b w:val="0"/>
        </w:rPr>
        <w:t>2006</w:t>
      </w:r>
      <w:r w:rsidRPr="00562AFB">
        <w:rPr>
          <w:rFonts w:cs="Times New Roman"/>
          <w:b w:val="0"/>
        </w:rPr>
        <w:t xml:space="preserve">). Disponível </w:t>
      </w:r>
      <w:r w:rsidRPr="00A96814">
        <w:rPr>
          <w:rFonts w:cs="Times New Roman"/>
          <w:b w:val="0"/>
        </w:rPr>
        <w:t xml:space="preserve">em </w:t>
      </w:r>
      <w:r w:rsidRPr="00CC5195">
        <w:rPr>
          <w:b w:val="0"/>
        </w:rPr>
        <w:t>https://dre.pt/pesquisa/-/search/539239/details/maximized</w:t>
      </w:r>
      <w:r w:rsidRPr="00A96814">
        <w:rPr>
          <w:b w:val="0"/>
        </w:rPr>
        <w:t>.</w:t>
      </w:r>
    </w:p>
    <w:p w14:paraId="31FF2750" w14:textId="77777777" w:rsidR="00231CF5" w:rsidRDefault="00231CF5" w:rsidP="00231CF5">
      <w:pPr>
        <w:spacing w:line="240" w:lineRule="auto"/>
        <w:ind w:left="284" w:hanging="284"/>
        <w:rPr>
          <w:rFonts w:cs="Times New Roman"/>
          <w:b w:val="0"/>
        </w:rPr>
      </w:pPr>
    </w:p>
    <w:p w14:paraId="2493E3C8" w14:textId="77777777" w:rsidR="00231CF5" w:rsidRPr="00A96814" w:rsidRDefault="00231CF5" w:rsidP="00231CF5">
      <w:pPr>
        <w:spacing w:line="240" w:lineRule="auto"/>
        <w:ind w:left="284" w:hanging="284"/>
        <w:rPr>
          <w:rFonts w:cs="Times New Roman"/>
          <w:b w:val="0"/>
          <w:bCs/>
        </w:rPr>
      </w:pPr>
      <w:r>
        <w:rPr>
          <w:b w:val="0"/>
          <w:bCs/>
        </w:rPr>
        <w:t>LEI</w:t>
      </w:r>
      <w:r w:rsidRPr="00E25CB3">
        <w:rPr>
          <w:b w:val="0"/>
          <w:bCs/>
        </w:rPr>
        <w:t xml:space="preserve"> nº </w:t>
      </w:r>
      <w:r>
        <w:rPr>
          <w:b w:val="0"/>
          <w:bCs/>
        </w:rPr>
        <w:t>6</w:t>
      </w:r>
      <w:r w:rsidRPr="00E25CB3">
        <w:rPr>
          <w:b w:val="0"/>
          <w:bCs/>
        </w:rPr>
        <w:t>.</w:t>
      </w:r>
      <w:r>
        <w:rPr>
          <w:b w:val="0"/>
          <w:bCs/>
        </w:rPr>
        <w:t>015</w:t>
      </w:r>
      <w:r w:rsidRPr="00E25CB3">
        <w:rPr>
          <w:b w:val="0"/>
          <w:bCs/>
        </w:rPr>
        <w:t>/19</w:t>
      </w:r>
      <w:r>
        <w:rPr>
          <w:b w:val="0"/>
          <w:bCs/>
        </w:rPr>
        <w:t>73</w:t>
      </w:r>
      <w:r w:rsidRPr="00E25CB3">
        <w:rPr>
          <w:b w:val="0"/>
          <w:bCs/>
        </w:rPr>
        <w:t xml:space="preserve">. </w:t>
      </w:r>
      <w:r w:rsidRPr="00E25CB3">
        <w:t>Planalto</w:t>
      </w:r>
      <w:r w:rsidRPr="00E25CB3">
        <w:rPr>
          <w:b w:val="0"/>
          <w:bCs/>
        </w:rPr>
        <w:t>. [Em linha]. (</w:t>
      </w:r>
      <w:r>
        <w:rPr>
          <w:b w:val="0"/>
          <w:bCs/>
        </w:rPr>
        <w:t>3</w:t>
      </w:r>
      <w:r w:rsidRPr="00E25CB3">
        <w:rPr>
          <w:b w:val="0"/>
          <w:bCs/>
        </w:rPr>
        <w:t>1-1</w:t>
      </w:r>
      <w:r>
        <w:rPr>
          <w:b w:val="0"/>
          <w:bCs/>
        </w:rPr>
        <w:t>2</w:t>
      </w:r>
      <w:r w:rsidRPr="00E25CB3">
        <w:rPr>
          <w:b w:val="0"/>
          <w:bCs/>
        </w:rPr>
        <w:t>-19</w:t>
      </w:r>
      <w:r>
        <w:rPr>
          <w:b w:val="0"/>
          <w:bCs/>
        </w:rPr>
        <w:t>73</w:t>
      </w:r>
      <w:r w:rsidRPr="00E25CB3">
        <w:rPr>
          <w:b w:val="0"/>
          <w:bCs/>
        </w:rPr>
        <w:t xml:space="preserve">). Disponível em </w:t>
      </w:r>
      <w:r w:rsidRPr="00CC5195">
        <w:rPr>
          <w:b w:val="0"/>
          <w:bCs/>
        </w:rPr>
        <w:t>http://www.planalto.gov.br/ccivil_03/leis/L6015compilada.htm</w:t>
      </w:r>
      <w:r w:rsidRPr="00A96814">
        <w:rPr>
          <w:b w:val="0"/>
          <w:bCs/>
        </w:rPr>
        <w:t>.</w:t>
      </w:r>
    </w:p>
    <w:p w14:paraId="58964094" w14:textId="77777777" w:rsidR="00231CF5" w:rsidRDefault="00231CF5" w:rsidP="00231CF5">
      <w:pPr>
        <w:spacing w:line="240" w:lineRule="auto"/>
        <w:ind w:left="284" w:hanging="284"/>
        <w:rPr>
          <w:rFonts w:cs="Times New Roman"/>
          <w:b w:val="0"/>
        </w:rPr>
      </w:pPr>
    </w:p>
    <w:p w14:paraId="17384E33" w14:textId="77777777" w:rsidR="00231CF5" w:rsidRPr="00A96814" w:rsidRDefault="00231CF5" w:rsidP="00231CF5">
      <w:pPr>
        <w:spacing w:line="240" w:lineRule="auto"/>
        <w:ind w:left="284" w:hanging="284"/>
        <w:rPr>
          <w:b w:val="0"/>
          <w:bCs/>
        </w:rPr>
      </w:pPr>
      <w:r>
        <w:rPr>
          <w:b w:val="0"/>
          <w:bCs/>
        </w:rPr>
        <w:t>LEI</w:t>
      </w:r>
      <w:r w:rsidRPr="00E25CB3">
        <w:rPr>
          <w:b w:val="0"/>
          <w:bCs/>
        </w:rPr>
        <w:t xml:space="preserve"> nº </w:t>
      </w:r>
      <w:r>
        <w:rPr>
          <w:b w:val="0"/>
          <w:bCs/>
        </w:rPr>
        <w:t>8</w:t>
      </w:r>
      <w:r w:rsidRPr="00E25CB3">
        <w:rPr>
          <w:b w:val="0"/>
          <w:bCs/>
        </w:rPr>
        <w:t>.</w:t>
      </w:r>
      <w:r>
        <w:rPr>
          <w:b w:val="0"/>
          <w:bCs/>
        </w:rPr>
        <w:t>935</w:t>
      </w:r>
      <w:r w:rsidRPr="00E25CB3">
        <w:rPr>
          <w:b w:val="0"/>
          <w:bCs/>
        </w:rPr>
        <w:t>/19</w:t>
      </w:r>
      <w:r>
        <w:rPr>
          <w:b w:val="0"/>
          <w:bCs/>
        </w:rPr>
        <w:t>94</w:t>
      </w:r>
      <w:r w:rsidRPr="00E25CB3">
        <w:rPr>
          <w:b w:val="0"/>
          <w:bCs/>
        </w:rPr>
        <w:t xml:space="preserve">. </w:t>
      </w:r>
      <w:r w:rsidRPr="00E25CB3">
        <w:t>Planalto</w:t>
      </w:r>
      <w:r w:rsidRPr="00E25CB3">
        <w:rPr>
          <w:b w:val="0"/>
          <w:bCs/>
        </w:rPr>
        <w:t>. [Em linha]. (</w:t>
      </w:r>
      <w:r>
        <w:rPr>
          <w:b w:val="0"/>
          <w:bCs/>
        </w:rPr>
        <w:t>18</w:t>
      </w:r>
      <w:r w:rsidRPr="00E25CB3">
        <w:rPr>
          <w:b w:val="0"/>
          <w:bCs/>
        </w:rPr>
        <w:t>-1</w:t>
      </w:r>
      <w:r>
        <w:rPr>
          <w:b w:val="0"/>
          <w:bCs/>
        </w:rPr>
        <w:t>1</w:t>
      </w:r>
      <w:r w:rsidRPr="00E25CB3">
        <w:rPr>
          <w:b w:val="0"/>
          <w:bCs/>
        </w:rPr>
        <w:t>-19</w:t>
      </w:r>
      <w:r>
        <w:rPr>
          <w:b w:val="0"/>
          <w:bCs/>
        </w:rPr>
        <w:t>94</w:t>
      </w:r>
      <w:r w:rsidRPr="00E25CB3">
        <w:rPr>
          <w:b w:val="0"/>
          <w:bCs/>
        </w:rPr>
        <w:t xml:space="preserve">). Disponível em </w:t>
      </w:r>
      <w:r w:rsidRPr="00CC5195">
        <w:rPr>
          <w:b w:val="0"/>
          <w:bCs/>
        </w:rPr>
        <w:t>http://www.planalto.gov.br/ccivil_03/LEIS/L8935.htm</w:t>
      </w:r>
      <w:r w:rsidRPr="00A96814">
        <w:rPr>
          <w:b w:val="0"/>
          <w:bCs/>
        </w:rPr>
        <w:t>.</w:t>
      </w:r>
    </w:p>
    <w:p w14:paraId="661CCB99" w14:textId="77777777" w:rsidR="00F05AA1" w:rsidRDefault="00F05AA1" w:rsidP="00FC165D">
      <w:pPr>
        <w:pStyle w:val="Textodenotaderodap"/>
        <w:spacing w:line="240" w:lineRule="auto"/>
        <w:ind w:left="284" w:hanging="284"/>
        <w:rPr>
          <w:rFonts w:cs="Times New Roman"/>
          <w:b w:val="0"/>
          <w:sz w:val="24"/>
          <w:szCs w:val="24"/>
        </w:rPr>
      </w:pPr>
    </w:p>
    <w:p w14:paraId="79BB9AF3" w14:textId="77777777" w:rsidR="00F05AA1" w:rsidRPr="000B194E" w:rsidRDefault="00F05AA1" w:rsidP="00FC165D">
      <w:pPr>
        <w:pStyle w:val="Textodenotaderodap"/>
        <w:spacing w:line="240" w:lineRule="auto"/>
        <w:ind w:left="284" w:hanging="284"/>
        <w:rPr>
          <w:rFonts w:cs="Times New Roman"/>
          <w:b w:val="0"/>
          <w:sz w:val="24"/>
          <w:szCs w:val="24"/>
        </w:rPr>
      </w:pPr>
      <w:r>
        <w:rPr>
          <w:rFonts w:cs="Times New Roman"/>
          <w:b w:val="0"/>
          <w:sz w:val="24"/>
          <w:szCs w:val="24"/>
        </w:rPr>
        <w:t xml:space="preserve">LEITE, Eduardo de Oliveira – </w:t>
      </w:r>
      <w:r w:rsidRPr="00F05AA1">
        <w:rPr>
          <w:rFonts w:cs="Times New Roman"/>
          <w:bCs/>
          <w:sz w:val="24"/>
          <w:szCs w:val="24"/>
        </w:rPr>
        <w:t>Procriações artificiais e o direito.</w:t>
      </w:r>
      <w:r>
        <w:rPr>
          <w:rFonts w:cs="Times New Roman"/>
          <w:b w:val="0"/>
          <w:sz w:val="24"/>
          <w:szCs w:val="24"/>
        </w:rPr>
        <w:t xml:space="preserve"> São Paulo: Editora Revista dos Tribunais, 1995.</w:t>
      </w:r>
    </w:p>
    <w:p w14:paraId="2D344B79" w14:textId="77777777" w:rsidR="000B194E" w:rsidRPr="000B194E" w:rsidRDefault="000B194E" w:rsidP="00FC165D">
      <w:pPr>
        <w:pStyle w:val="Textodenotaderodap"/>
        <w:spacing w:line="240" w:lineRule="auto"/>
        <w:ind w:left="284" w:hanging="284"/>
        <w:rPr>
          <w:rFonts w:cs="Times New Roman"/>
          <w:b w:val="0"/>
          <w:sz w:val="24"/>
          <w:szCs w:val="24"/>
        </w:rPr>
      </w:pPr>
    </w:p>
    <w:p w14:paraId="4A4029B6" w14:textId="77777777" w:rsidR="007D62D8" w:rsidRPr="00A95C0D" w:rsidRDefault="000B194E" w:rsidP="00FC165D">
      <w:pPr>
        <w:pStyle w:val="Textodenotaderodap"/>
        <w:spacing w:line="240" w:lineRule="auto"/>
        <w:ind w:left="284" w:hanging="284"/>
        <w:rPr>
          <w:rFonts w:cs="Times New Roman"/>
          <w:b w:val="0"/>
          <w:sz w:val="24"/>
          <w:szCs w:val="24"/>
        </w:rPr>
      </w:pPr>
      <w:r w:rsidRPr="000B194E">
        <w:rPr>
          <w:rFonts w:cs="Times New Roman"/>
          <w:b w:val="0"/>
          <w:sz w:val="24"/>
          <w:szCs w:val="24"/>
        </w:rPr>
        <w:t>LÔBO, Paulo Luiz Netto</w:t>
      </w:r>
      <w:r w:rsidR="007D62D8">
        <w:rPr>
          <w:rFonts w:cs="Times New Roman"/>
          <w:b w:val="0"/>
          <w:sz w:val="24"/>
          <w:szCs w:val="24"/>
        </w:rPr>
        <w:t xml:space="preserve"> </w:t>
      </w:r>
      <w:r w:rsidR="00307A0B">
        <w:rPr>
          <w:rFonts w:cs="Times New Roman"/>
          <w:b w:val="0"/>
          <w:sz w:val="24"/>
          <w:szCs w:val="24"/>
        </w:rPr>
        <w:t>–</w:t>
      </w:r>
      <w:r w:rsidR="007D62D8">
        <w:rPr>
          <w:rFonts w:cs="Times New Roman"/>
          <w:b w:val="0"/>
          <w:sz w:val="24"/>
          <w:szCs w:val="24"/>
        </w:rPr>
        <w:t xml:space="preserve"> </w:t>
      </w:r>
      <w:r w:rsidR="00307A0B" w:rsidRPr="00304199">
        <w:rPr>
          <w:rFonts w:cs="Times New Roman"/>
          <w:bCs/>
          <w:sz w:val="24"/>
          <w:szCs w:val="24"/>
        </w:rPr>
        <w:t>Direito ao Estado de Filiação e direito à origem genética: uma distinção necessária.</w:t>
      </w:r>
      <w:r w:rsidR="00307A0B">
        <w:rPr>
          <w:rFonts w:cs="Times New Roman"/>
          <w:b w:val="0"/>
          <w:sz w:val="24"/>
          <w:szCs w:val="24"/>
        </w:rPr>
        <w:t xml:space="preserve"> [Em linha]. Brasília: [</w:t>
      </w:r>
      <w:proofErr w:type="spellStart"/>
      <w:r w:rsidR="00307A0B">
        <w:rPr>
          <w:rFonts w:cs="Times New Roman"/>
          <w:b w:val="0"/>
          <w:sz w:val="24"/>
          <w:szCs w:val="24"/>
        </w:rPr>
        <w:t>sn</w:t>
      </w:r>
      <w:proofErr w:type="spellEnd"/>
      <w:r w:rsidR="00307A0B">
        <w:rPr>
          <w:rFonts w:cs="Times New Roman"/>
          <w:b w:val="0"/>
          <w:sz w:val="24"/>
          <w:szCs w:val="24"/>
        </w:rPr>
        <w:t>.] (out/dez 2004). [</w:t>
      </w:r>
      <w:proofErr w:type="spellStart"/>
      <w:r w:rsidR="00307A0B">
        <w:rPr>
          <w:rFonts w:cs="Times New Roman"/>
          <w:b w:val="0"/>
          <w:sz w:val="24"/>
          <w:szCs w:val="24"/>
        </w:rPr>
        <w:t>Consult</w:t>
      </w:r>
      <w:proofErr w:type="spellEnd"/>
      <w:r w:rsidR="00307A0B">
        <w:rPr>
          <w:rFonts w:cs="Times New Roman"/>
          <w:b w:val="0"/>
          <w:sz w:val="24"/>
          <w:szCs w:val="24"/>
        </w:rPr>
        <w:t xml:space="preserve">. 18 </w:t>
      </w:r>
      <w:proofErr w:type="spellStart"/>
      <w:r w:rsidR="00307A0B">
        <w:rPr>
          <w:rFonts w:cs="Times New Roman"/>
          <w:b w:val="0"/>
          <w:sz w:val="24"/>
          <w:szCs w:val="24"/>
        </w:rPr>
        <w:t>jan</w:t>
      </w:r>
      <w:proofErr w:type="spellEnd"/>
      <w:r w:rsidR="00307A0B">
        <w:rPr>
          <w:rFonts w:cs="Times New Roman"/>
          <w:b w:val="0"/>
          <w:sz w:val="24"/>
          <w:szCs w:val="24"/>
        </w:rPr>
        <w:t xml:space="preserve"> 2019]. </w:t>
      </w:r>
      <w:r w:rsidR="00307A0B" w:rsidRPr="00010004">
        <w:rPr>
          <w:rFonts w:cs="Times New Roman"/>
          <w:b w:val="0"/>
          <w:sz w:val="24"/>
          <w:szCs w:val="24"/>
        </w:rPr>
        <w:t>Disponível em</w:t>
      </w:r>
      <w:r w:rsidR="00010004" w:rsidRPr="00010004">
        <w:rPr>
          <w:rFonts w:cs="Times New Roman"/>
          <w:b w:val="0"/>
          <w:sz w:val="24"/>
          <w:szCs w:val="24"/>
        </w:rPr>
        <w:t xml:space="preserve"> </w:t>
      </w:r>
      <w:r w:rsidR="00010004" w:rsidRPr="00CC5195">
        <w:rPr>
          <w:rFonts w:eastAsiaTheme="majorEastAsia"/>
          <w:b w:val="0"/>
          <w:bCs/>
          <w:sz w:val="24"/>
          <w:szCs w:val="24"/>
        </w:rPr>
        <w:t>https://bdjur.stj.jus.br/jspui/bitstream/2011/120874/direito_estado_filiacao_lobo.pdf</w:t>
      </w:r>
      <w:r w:rsidR="00010004" w:rsidRPr="00A95C0D">
        <w:rPr>
          <w:b w:val="0"/>
          <w:bCs/>
          <w:sz w:val="24"/>
          <w:szCs w:val="24"/>
        </w:rPr>
        <w:t xml:space="preserve">. </w:t>
      </w:r>
      <w:r w:rsidR="00307A0B" w:rsidRPr="00A95C0D">
        <w:rPr>
          <w:rFonts w:cs="Times New Roman"/>
          <w:b w:val="0"/>
          <w:sz w:val="24"/>
          <w:szCs w:val="24"/>
        </w:rPr>
        <w:t xml:space="preserve">  </w:t>
      </w:r>
      <w:r w:rsidR="00E43676" w:rsidRPr="00A95C0D">
        <w:rPr>
          <w:rFonts w:cs="Times New Roman"/>
          <w:b w:val="0"/>
          <w:sz w:val="24"/>
          <w:szCs w:val="24"/>
        </w:rPr>
        <w:t xml:space="preserve"> </w:t>
      </w:r>
    </w:p>
    <w:p w14:paraId="1A8D1345" w14:textId="77777777" w:rsidR="007D62D8" w:rsidRDefault="007D62D8" w:rsidP="00FC165D">
      <w:pPr>
        <w:pStyle w:val="Textodenotaderodap"/>
        <w:spacing w:line="240" w:lineRule="auto"/>
        <w:ind w:left="284" w:hanging="284"/>
        <w:rPr>
          <w:rFonts w:cs="Times New Roman"/>
          <w:b w:val="0"/>
          <w:sz w:val="24"/>
          <w:szCs w:val="24"/>
        </w:rPr>
      </w:pPr>
    </w:p>
    <w:p w14:paraId="0EAC931E" w14:textId="77777777" w:rsidR="001E2C91" w:rsidRPr="000B194E" w:rsidRDefault="001E2C91" w:rsidP="00FC165D">
      <w:pPr>
        <w:pStyle w:val="Textodenotaderodap"/>
        <w:spacing w:line="240" w:lineRule="auto"/>
        <w:ind w:left="284" w:hanging="284"/>
        <w:rPr>
          <w:rFonts w:cs="Times New Roman"/>
          <w:b w:val="0"/>
          <w:sz w:val="24"/>
          <w:szCs w:val="24"/>
        </w:rPr>
      </w:pPr>
      <w:r>
        <w:rPr>
          <w:rFonts w:cs="Times New Roman"/>
          <w:b w:val="0"/>
          <w:sz w:val="24"/>
          <w:szCs w:val="24"/>
        </w:rPr>
        <w:t xml:space="preserve">LOUREIRO, Claudia Regina Magalhães - </w:t>
      </w:r>
      <w:r w:rsidRPr="00AE478E">
        <w:rPr>
          <w:rFonts w:cs="Times New Roman"/>
          <w:bCs/>
          <w:sz w:val="24"/>
          <w:szCs w:val="24"/>
        </w:rPr>
        <w:t>Introdução ao Biodireito.</w:t>
      </w:r>
      <w:r>
        <w:rPr>
          <w:rFonts w:cs="Times New Roman"/>
          <w:b w:val="0"/>
          <w:sz w:val="24"/>
          <w:szCs w:val="24"/>
        </w:rPr>
        <w:t xml:space="preserve"> São Paulo: Saraiva, 2009.</w:t>
      </w:r>
    </w:p>
    <w:p w14:paraId="0D949D33" w14:textId="77777777" w:rsidR="000B194E" w:rsidRDefault="000B194E" w:rsidP="00FC165D">
      <w:pPr>
        <w:pStyle w:val="Textodenotaderodap"/>
        <w:spacing w:line="240" w:lineRule="auto"/>
        <w:ind w:left="284" w:hanging="284"/>
        <w:rPr>
          <w:rFonts w:cs="Times New Roman"/>
          <w:b w:val="0"/>
          <w:sz w:val="24"/>
          <w:szCs w:val="24"/>
        </w:rPr>
      </w:pPr>
    </w:p>
    <w:p w14:paraId="770E37B3" w14:textId="5C7BB473" w:rsidR="007B6235" w:rsidRPr="00813CAA" w:rsidRDefault="000B194E" w:rsidP="00813CAA">
      <w:pPr>
        <w:pStyle w:val="Textodenotaderodap"/>
        <w:spacing w:line="240" w:lineRule="auto"/>
        <w:ind w:left="284" w:hanging="284"/>
        <w:rPr>
          <w:b w:val="0"/>
          <w:bCs/>
          <w:sz w:val="24"/>
          <w:szCs w:val="24"/>
        </w:rPr>
      </w:pPr>
      <w:r w:rsidRPr="00813CAA">
        <w:rPr>
          <w:rFonts w:cs="Times New Roman"/>
          <w:b w:val="0"/>
          <w:sz w:val="24"/>
          <w:szCs w:val="24"/>
        </w:rPr>
        <w:t>MADALENO, Rolf –</w:t>
      </w:r>
      <w:bookmarkStart w:id="79" w:name="_Toc20302864"/>
      <w:bookmarkStart w:id="80" w:name="_Toc28034671"/>
      <w:r w:rsidR="00813CAA" w:rsidRPr="00813CAA">
        <w:rPr>
          <w:rFonts w:cs="Times New Roman"/>
          <w:b w:val="0"/>
          <w:sz w:val="24"/>
          <w:szCs w:val="24"/>
        </w:rPr>
        <w:t xml:space="preserve"> </w:t>
      </w:r>
      <w:r w:rsidR="007B6235" w:rsidRPr="00813CAA">
        <w:rPr>
          <w:b w:val="0"/>
          <w:bCs/>
          <w:sz w:val="24"/>
          <w:szCs w:val="24"/>
        </w:rPr>
        <w:t xml:space="preserve">Filiação sucessória. </w:t>
      </w:r>
      <w:r w:rsidR="007B6235" w:rsidRPr="00813CAA">
        <w:rPr>
          <w:sz w:val="24"/>
          <w:szCs w:val="24"/>
        </w:rPr>
        <w:t>Revista Brasileira de direito das famílias e sucessões</w:t>
      </w:r>
      <w:r w:rsidR="007B6235" w:rsidRPr="00813CAA">
        <w:rPr>
          <w:b w:val="0"/>
          <w:bCs/>
          <w:sz w:val="24"/>
          <w:szCs w:val="24"/>
        </w:rPr>
        <w:t xml:space="preserve"> (dez/</w:t>
      </w:r>
      <w:proofErr w:type="spellStart"/>
      <w:r w:rsidR="007B6235" w:rsidRPr="00813CAA">
        <w:rPr>
          <w:b w:val="0"/>
          <w:bCs/>
          <w:sz w:val="24"/>
          <w:szCs w:val="24"/>
        </w:rPr>
        <w:t>jan</w:t>
      </w:r>
      <w:proofErr w:type="spellEnd"/>
      <w:r w:rsidR="007B6235" w:rsidRPr="00813CAA">
        <w:rPr>
          <w:b w:val="0"/>
          <w:bCs/>
          <w:sz w:val="24"/>
          <w:szCs w:val="24"/>
        </w:rPr>
        <w:t xml:space="preserve"> 2008). Porto Alegre: Editora Magister.</w:t>
      </w:r>
      <w:bookmarkEnd w:id="79"/>
      <w:bookmarkEnd w:id="80"/>
    </w:p>
    <w:p w14:paraId="777BCEAD" w14:textId="77777777" w:rsidR="007B6235" w:rsidRDefault="007B6235" w:rsidP="00FC165D">
      <w:pPr>
        <w:pStyle w:val="Textodenotaderodap"/>
        <w:spacing w:line="240" w:lineRule="auto"/>
        <w:ind w:left="284" w:hanging="284"/>
        <w:rPr>
          <w:rFonts w:cs="Times New Roman"/>
          <w:b w:val="0"/>
          <w:sz w:val="24"/>
          <w:szCs w:val="24"/>
        </w:rPr>
      </w:pPr>
    </w:p>
    <w:p w14:paraId="63B4BE67" w14:textId="77777777" w:rsidR="000E476E" w:rsidRDefault="000E476E" w:rsidP="00FC165D">
      <w:pPr>
        <w:pStyle w:val="Textodenotaderodap"/>
        <w:spacing w:line="240" w:lineRule="auto"/>
        <w:ind w:left="284" w:hanging="284"/>
        <w:rPr>
          <w:rFonts w:cs="Times New Roman"/>
          <w:b w:val="0"/>
          <w:sz w:val="24"/>
          <w:szCs w:val="24"/>
        </w:rPr>
      </w:pPr>
      <w:r>
        <w:rPr>
          <w:rFonts w:cs="Times New Roman"/>
          <w:b w:val="0"/>
          <w:sz w:val="24"/>
          <w:szCs w:val="24"/>
        </w:rPr>
        <w:t xml:space="preserve">______ - </w:t>
      </w:r>
      <w:r w:rsidRPr="00DE297C">
        <w:rPr>
          <w:rFonts w:cs="Times New Roman"/>
          <w:bCs/>
          <w:sz w:val="24"/>
          <w:szCs w:val="24"/>
        </w:rPr>
        <w:t>Novos horizontes ao direito de família.</w:t>
      </w:r>
      <w:r>
        <w:rPr>
          <w:rFonts w:cs="Times New Roman"/>
          <w:b w:val="0"/>
          <w:sz w:val="24"/>
          <w:szCs w:val="24"/>
        </w:rPr>
        <w:t xml:space="preserve"> Rio de Janeiro: Forense, 2010.</w:t>
      </w:r>
    </w:p>
    <w:p w14:paraId="27F9637D" w14:textId="77777777" w:rsidR="00142B71" w:rsidRDefault="00142B71" w:rsidP="00FC165D">
      <w:pPr>
        <w:pStyle w:val="Textodenotaderodap"/>
        <w:spacing w:line="240" w:lineRule="auto"/>
        <w:ind w:left="284" w:hanging="284"/>
        <w:rPr>
          <w:rFonts w:cs="Times New Roman"/>
          <w:b w:val="0"/>
          <w:sz w:val="24"/>
          <w:szCs w:val="24"/>
        </w:rPr>
      </w:pPr>
    </w:p>
    <w:p w14:paraId="256A85BB" w14:textId="77777777" w:rsidR="00142B71" w:rsidRPr="000B194E" w:rsidRDefault="00142B71" w:rsidP="00FC165D">
      <w:pPr>
        <w:pStyle w:val="Textodenotaderodap"/>
        <w:spacing w:line="240" w:lineRule="auto"/>
        <w:ind w:left="284" w:hanging="284"/>
        <w:rPr>
          <w:rFonts w:cs="Times New Roman"/>
          <w:b w:val="0"/>
          <w:sz w:val="24"/>
          <w:szCs w:val="24"/>
        </w:rPr>
      </w:pPr>
      <w:r>
        <w:rPr>
          <w:rFonts w:cs="Times New Roman"/>
          <w:b w:val="0"/>
          <w:sz w:val="24"/>
          <w:szCs w:val="24"/>
        </w:rPr>
        <w:t xml:space="preserve">MALUF, Adriana Caldas do Rego Freitas </w:t>
      </w:r>
      <w:proofErr w:type="spellStart"/>
      <w:r>
        <w:rPr>
          <w:rFonts w:cs="Times New Roman"/>
          <w:b w:val="0"/>
          <w:sz w:val="24"/>
          <w:szCs w:val="24"/>
        </w:rPr>
        <w:t>Dabus</w:t>
      </w:r>
      <w:proofErr w:type="spellEnd"/>
      <w:r>
        <w:rPr>
          <w:rFonts w:cs="Times New Roman"/>
          <w:b w:val="0"/>
          <w:sz w:val="24"/>
          <w:szCs w:val="24"/>
        </w:rPr>
        <w:t xml:space="preserve"> – </w:t>
      </w:r>
      <w:r w:rsidRPr="00142B71">
        <w:rPr>
          <w:rFonts w:cs="Times New Roman"/>
          <w:bCs/>
          <w:sz w:val="24"/>
          <w:szCs w:val="24"/>
        </w:rPr>
        <w:t>Curso de Bioética e Biodireito.</w:t>
      </w:r>
      <w:r>
        <w:rPr>
          <w:rFonts w:cs="Times New Roman"/>
          <w:b w:val="0"/>
          <w:sz w:val="24"/>
          <w:szCs w:val="24"/>
        </w:rPr>
        <w:t xml:space="preserve"> São Paulo: Atlas, 2013.</w:t>
      </w:r>
    </w:p>
    <w:p w14:paraId="0299302D" w14:textId="77777777" w:rsidR="000B194E" w:rsidRPr="000B194E" w:rsidRDefault="000B194E" w:rsidP="00FC165D">
      <w:pPr>
        <w:pStyle w:val="Textodenotaderodap"/>
        <w:spacing w:line="240" w:lineRule="auto"/>
        <w:ind w:left="284" w:hanging="284"/>
        <w:rPr>
          <w:rFonts w:cs="Times New Roman"/>
          <w:b w:val="0"/>
          <w:sz w:val="24"/>
          <w:szCs w:val="24"/>
        </w:rPr>
      </w:pPr>
    </w:p>
    <w:p w14:paraId="667FFA53" w14:textId="77777777" w:rsidR="00491177" w:rsidRDefault="00491177" w:rsidP="00FC165D">
      <w:pPr>
        <w:spacing w:line="240" w:lineRule="auto"/>
        <w:ind w:left="284" w:hanging="284"/>
        <w:rPr>
          <w:rFonts w:cs="Times New Roman"/>
          <w:b w:val="0"/>
        </w:rPr>
      </w:pPr>
      <w:r>
        <w:rPr>
          <w:rFonts w:cs="Times New Roman"/>
          <w:b w:val="0"/>
        </w:rPr>
        <w:t xml:space="preserve">MARTINS, Samir José Caetano – A recusa do filho natural ao reconhecimento voluntário de paternidade. </w:t>
      </w:r>
      <w:r w:rsidRPr="00491177">
        <w:rPr>
          <w:rFonts w:cs="Times New Roman"/>
          <w:bCs/>
        </w:rPr>
        <w:t>Revista do Ministério Público.</w:t>
      </w:r>
      <w:r>
        <w:rPr>
          <w:rFonts w:cs="Times New Roman"/>
          <w:b w:val="0"/>
        </w:rPr>
        <w:t xml:space="preserve"> Rio de Janeiro: Ministério Público, n° 16 (</w:t>
      </w:r>
      <w:proofErr w:type="spellStart"/>
      <w:r>
        <w:rPr>
          <w:rFonts w:cs="Times New Roman"/>
          <w:b w:val="0"/>
        </w:rPr>
        <w:t>jul</w:t>
      </w:r>
      <w:proofErr w:type="spellEnd"/>
      <w:r>
        <w:rPr>
          <w:rFonts w:cs="Times New Roman"/>
          <w:b w:val="0"/>
        </w:rPr>
        <w:t>/dez 2002).</w:t>
      </w:r>
    </w:p>
    <w:p w14:paraId="56B32F3F" w14:textId="77777777" w:rsidR="00DB1C86" w:rsidRDefault="00DB1C86" w:rsidP="00FC165D">
      <w:pPr>
        <w:spacing w:line="240" w:lineRule="auto"/>
        <w:ind w:left="284" w:hanging="284"/>
        <w:rPr>
          <w:rFonts w:cs="Times New Roman"/>
          <w:b w:val="0"/>
        </w:rPr>
      </w:pPr>
    </w:p>
    <w:p w14:paraId="33286FB6" w14:textId="77777777" w:rsidR="00DB1C86" w:rsidRDefault="00DB1C86" w:rsidP="00FC165D">
      <w:pPr>
        <w:spacing w:line="240" w:lineRule="auto"/>
        <w:ind w:left="284" w:hanging="284"/>
        <w:rPr>
          <w:rFonts w:cs="Times New Roman"/>
          <w:b w:val="0"/>
        </w:rPr>
      </w:pPr>
      <w:r>
        <w:rPr>
          <w:rFonts w:cs="Times New Roman"/>
          <w:b w:val="0"/>
        </w:rPr>
        <w:t xml:space="preserve">MELLO, Celso </w:t>
      </w:r>
      <w:proofErr w:type="spellStart"/>
      <w:r>
        <w:rPr>
          <w:rFonts w:cs="Times New Roman"/>
          <w:b w:val="0"/>
        </w:rPr>
        <w:t>Antonio</w:t>
      </w:r>
      <w:proofErr w:type="spellEnd"/>
      <w:r>
        <w:rPr>
          <w:rFonts w:cs="Times New Roman"/>
          <w:b w:val="0"/>
        </w:rPr>
        <w:t xml:space="preserve"> Bandeira de – </w:t>
      </w:r>
      <w:r w:rsidRPr="00DB1C86">
        <w:rPr>
          <w:rFonts w:cs="Times New Roman"/>
          <w:bCs/>
        </w:rPr>
        <w:t>O conteúdo jurídico do princípio da igualdade.</w:t>
      </w:r>
      <w:r>
        <w:rPr>
          <w:rFonts w:cs="Times New Roman"/>
          <w:b w:val="0"/>
        </w:rPr>
        <w:t xml:space="preserve"> São Paulo: Malheiros, 1993.</w:t>
      </w:r>
    </w:p>
    <w:p w14:paraId="31525B35" w14:textId="77777777" w:rsidR="009D2F22" w:rsidRDefault="009D2F22" w:rsidP="00FC165D">
      <w:pPr>
        <w:spacing w:line="240" w:lineRule="auto"/>
        <w:ind w:left="284" w:hanging="284"/>
        <w:rPr>
          <w:rFonts w:cs="Times New Roman"/>
          <w:b w:val="0"/>
        </w:rPr>
      </w:pPr>
    </w:p>
    <w:p w14:paraId="3F81BBAC" w14:textId="77777777" w:rsidR="009D2F22" w:rsidRDefault="009D2F22" w:rsidP="00FC165D">
      <w:pPr>
        <w:spacing w:line="240" w:lineRule="auto"/>
        <w:ind w:left="284" w:hanging="284"/>
        <w:rPr>
          <w:rFonts w:cs="Times New Roman"/>
          <w:b w:val="0"/>
        </w:rPr>
      </w:pPr>
      <w:r>
        <w:rPr>
          <w:rFonts w:cs="Times New Roman"/>
          <w:b w:val="0"/>
        </w:rPr>
        <w:t xml:space="preserve">MENDES, Christine </w:t>
      </w:r>
      <w:proofErr w:type="spellStart"/>
      <w:r>
        <w:rPr>
          <w:rFonts w:cs="Times New Roman"/>
          <w:b w:val="0"/>
        </w:rPr>
        <w:t>Keler</w:t>
      </w:r>
      <w:proofErr w:type="spellEnd"/>
      <w:r>
        <w:rPr>
          <w:rFonts w:cs="Times New Roman"/>
          <w:b w:val="0"/>
        </w:rPr>
        <w:t xml:space="preserve"> de Lima – Mães substitutas e a determinação da maternidade: implicações da reprodução medicamente assistida na fertilização in vitro heteróloga. </w:t>
      </w:r>
      <w:r w:rsidRPr="00AE4DDD">
        <w:rPr>
          <w:rFonts w:cs="Times New Roman"/>
          <w:bCs/>
        </w:rPr>
        <w:t>Revista Brasileira de Direito das Famílias e Sucessões.</w:t>
      </w:r>
      <w:r>
        <w:rPr>
          <w:rFonts w:cs="Times New Roman"/>
          <w:b w:val="0"/>
        </w:rPr>
        <w:t xml:space="preserve"> Belo Horizonte (out/</w:t>
      </w:r>
      <w:proofErr w:type="spellStart"/>
      <w:r>
        <w:rPr>
          <w:rFonts w:cs="Times New Roman"/>
          <w:b w:val="0"/>
        </w:rPr>
        <w:t>nov</w:t>
      </w:r>
      <w:proofErr w:type="spellEnd"/>
      <w:r>
        <w:rPr>
          <w:rFonts w:cs="Times New Roman"/>
          <w:b w:val="0"/>
        </w:rPr>
        <w:t xml:space="preserve"> 2007). Ano IX.</w:t>
      </w:r>
    </w:p>
    <w:p w14:paraId="6F0990E5" w14:textId="77777777" w:rsidR="0029250D" w:rsidRDefault="0029250D" w:rsidP="00FC165D">
      <w:pPr>
        <w:spacing w:line="240" w:lineRule="auto"/>
        <w:ind w:left="284" w:hanging="284"/>
        <w:rPr>
          <w:rFonts w:cs="Times New Roman"/>
          <w:b w:val="0"/>
        </w:rPr>
      </w:pPr>
    </w:p>
    <w:p w14:paraId="4E22FE81" w14:textId="6AEA2A87" w:rsidR="0086633F" w:rsidRPr="00F64802" w:rsidRDefault="0086633F" w:rsidP="00FC165D">
      <w:pPr>
        <w:spacing w:line="240" w:lineRule="auto"/>
        <w:ind w:left="284" w:hanging="284"/>
        <w:rPr>
          <w:rFonts w:cs="Times New Roman"/>
          <w:b w:val="0"/>
        </w:rPr>
      </w:pPr>
      <w:r w:rsidRPr="00F64802">
        <w:rPr>
          <w:rFonts w:cs="Times New Roman"/>
          <w:b w:val="0"/>
        </w:rPr>
        <w:t>ORLANDI NETO, Narciso</w:t>
      </w:r>
      <w:r>
        <w:rPr>
          <w:rFonts w:cs="Times New Roman"/>
          <w:b w:val="0"/>
        </w:rPr>
        <w:t xml:space="preserve"> - </w:t>
      </w:r>
      <w:r w:rsidRPr="00F64802">
        <w:rPr>
          <w:rFonts w:cs="Times New Roman"/>
          <w:b w:val="0"/>
        </w:rPr>
        <w:t>Atividade Notarial – Noções. In</w:t>
      </w:r>
      <w:r>
        <w:rPr>
          <w:rFonts w:cs="Times New Roman"/>
          <w:b w:val="0"/>
        </w:rPr>
        <w:t xml:space="preserve"> DIP, Ricardo (Coord.). </w:t>
      </w:r>
      <w:r w:rsidRPr="00E37AAF">
        <w:rPr>
          <w:rFonts w:cs="Times New Roman"/>
          <w:bCs/>
        </w:rPr>
        <w:t>Introdução ao Direito Notarial e Registral.</w:t>
      </w:r>
      <w:r>
        <w:rPr>
          <w:rFonts w:cs="Times New Roman"/>
          <w:b w:val="0"/>
        </w:rPr>
        <w:t xml:space="preserve"> </w:t>
      </w:r>
      <w:r w:rsidRPr="00F64802">
        <w:rPr>
          <w:rFonts w:cs="Times New Roman"/>
          <w:b w:val="0"/>
        </w:rPr>
        <w:t xml:space="preserve">Porto Alegre: Sergio </w:t>
      </w:r>
      <w:proofErr w:type="spellStart"/>
      <w:r w:rsidRPr="00F64802">
        <w:rPr>
          <w:rFonts w:cs="Times New Roman"/>
          <w:b w:val="0"/>
        </w:rPr>
        <w:t>Antonio</w:t>
      </w:r>
      <w:proofErr w:type="spellEnd"/>
      <w:r w:rsidRPr="00F64802">
        <w:rPr>
          <w:rFonts w:cs="Times New Roman"/>
          <w:b w:val="0"/>
        </w:rPr>
        <w:t xml:space="preserve"> Fabris Editor, 2004.</w:t>
      </w:r>
      <w:r w:rsidR="00BD41B3">
        <w:rPr>
          <w:rFonts w:cs="Times New Roman"/>
          <w:b w:val="0"/>
        </w:rPr>
        <w:t xml:space="preserve"> ISBN 857525281X.</w:t>
      </w:r>
      <w:r w:rsidRPr="00F64802">
        <w:rPr>
          <w:rFonts w:cs="Times New Roman"/>
          <w:b w:val="0"/>
        </w:rPr>
        <w:t xml:space="preserve"> </w:t>
      </w:r>
    </w:p>
    <w:p w14:paraId="2F8A8989" w14:textId="77777777" w:rsidR="0086633F" w:rsidRPr="00F64802" w:rsidRDefault="0086633F" w:rsidP="00FC165D">
      <w:pPr>
        <w:spacing w:line="240" w:lineRule="auto"/>
        <w:ind w:left="284" w:hanging="284"/>
        <w:rPr>
          <w:rFonts w:cs="Times New Roman"/>
          <w:b w:val="0"/>
        </w:rPr>
      </w:pPr>
    </w:p>
    <w:p w14:paraId="70CB1692" w14:textId="77777777" w:rsidR="0086633F" w:rsidRDefault="0086633F" w:rsidP="00FC165D">
      <w:pPr>
        <w:spacing w:line="240" w:lineRule="auto"/>
        <w:ind w:left="284" w:hanging="284"/>
        <w:rPr>
          <w:rFonts w:cs="Times New Roman"/>
          <w:b w:val="0"/>
        </w:rPr>
      </w:pPr>
      <w:r w:rsidRPr="00F64802">
        <w:rPr>
          <w:rFonts w:cs="Times New Roman"/>
          <w:b w:val="0"/>
        </w:rPr>
        <w:t>______</w:t>
      </w:r>
      <w:r w:rsidR="000E3544">
        <w:rPr>
          <w:rFonts w:cs="Times New Roman"/>
          <w:b w:val="0"/>
        </w:rPr>
        <w:t xml:space="preserve"> -</w:t>
      </w:r>
      <w:r w:rsidRPr="00F64802">
        <w:rPr>
          <w:rFonts w:cs="Times New Roman"/>
          <w:b w:val="0"/>
        </w:rPr>
        <w:t xml:space="preserve"> Serviços notariais e de registro. In</w:t>
      </w:r>
      <w:r>
        <w:rPr>
          <w:rFonts w:cs="Times New Roman"/>
          <w:b w:val="0"/>
        </w:rPr>
        <w:t xml:space="preserve"> </w:t>
      </w:r>
      <w:r w:rsidRPr="00F64802">
        <w:rPr>
          <w:rFonts w:cs="Times New Roman"/>
          <w:b w:val="0"/>
        </w:rPr>
        <w:t xml:space="preserve">FREITAS, Vladimir Passos de (Coord.). </w:t>
      </w:r>
      <w:r w:rsidRPr="00E37AAF">
        <w:rPr>
          <w:rFonts w:cs="Times New Roman"/>
          <w:bCs/>
        </w:rPr>
        <w:t>Corregedorias do poder judiciário.</w:t>
      </w:r>
      <w:r w:rsidRPr="00F64802">
        <w:rPr>
          <w:rFonts w:cs="Times New Roman"/>
          <w:b w:val="0"/>
        </w:rPr>
        <w:t xml:space="preserve"> São Paulo: Revista dos Tribunais, 2003.  </w:t>
      </w:r>
    </w:p>
    <w:p w14:paraId="3A2DDC05" w14:textId="77777777" w:rsidR="00221119" w:rsidRPr="009420A2" w:rsidRDefault="00221119" w:rsidP="00FC165D">
      <w:pPr>
        <w:spacing w:line="240" w:lineRule="auto"/>
        <w:ind w:left="284" w:hanging="284"/>
        <w:rPr>
          <w:rFonts w:cs="Times New Roman"/>
          <w:b w:val="0"/>
        </w:rPr>
      </w:pPr>
    </w:p>
    <w:p w14:paraId="0C5E84C3" w14:textId="77777777" w:rsidR="009420A2" w:rsidRPr="009420A2" w:rsidRDefault="009420A2" w:rsidP="009420A2">
      <w:pPr>
        <w:pStyle w:val="Textodenotaderodap"/>
        <w:spacing w:line="240" w:lineRule="auto"/>
        <w:ind w:left="284" w:hanging="284"/>
        <w:rPr>
          <w:b w:val="0"/>
          <w:bCs/>
          <w:sz w:val="24"/>
          <w:szCs w:val="24"/>
        </w:rPr>
      </w:pPr>
      <w:r w:rsidRPr="009420A2">
        <w:rPr>
          <w:b w:val="0"/>
          <w:bCs/>
          <w:sz w:val="24"/>
          <w:szCs w:val="24"/>
        </w:rPr>
        <w:t>PAIXÃO, Silva Relat. - Acórdão do Supremo Tribunal de Justiça, com o n</w:t>
      </w:r>
      <w:r w:rsidRPr="009420A2">
        <w:rPr>
          <w:rFonts w:cs="Times New Roman"/>
          <w:b w:val="0"/>
          <w:bCs/>
          <w:sz w:val="24"/>
          <w:szCs w:val="24"/>
        </w:rPr>
        <w:t>°</w:t>
      </w:r>
      <w:r w:rsidRPr="009420A2">
        <w:rPr>
          <w:b w:val="0"/>
          <w:bCs/>
          <w:sz w:val="24"/>
          <w:szCs w:val="24"/>
        </w:rPr>
        <w:t xml:space="preserve"> 98A058, de 3 de março de 1998. </w:t>
      </w:r>
      <w:r w:rsidRPr="009420A2">
        <w:rPr>
          <w:rFonts w:cs="Times New Roman"/>
          <w:b w:val="0"/>
          <w:bCs/>
          <w:sz w:val="24"/>
          <w:szCs w:val="24"/>
        </w:rPr>
        <w:t>[</w:t>
      </w:r>
      <w:r w:rsidRPr="009420A2">
        <w:rPr>
          <w:b w:val="0"/>
          <w:bCs/>
          <w:sz w:val="24"/>
          <w:szCs w:val="24"/>
        </w:rPr>
        <w:t>Em linha</w:t>
      </w:r>
      <w:r w:rsidRPr="009420A2">
        <w:rPr>
          <w:rFonts w:cs="Times New Roman"/>
          <w:b w:val="0"/>
          <w:bCs/>
          <w:sz w:val="24"/>
          <w:szCs w:val="24"/>
        </w:rPr>
        <w:t>]</w:t>
      </w:r>
      <w:r w:rsidRPr="009420A2">
        <w:rPr>
          <w:b w:val="0"/>
          <w:bCs/>
          <w:sz w:val="24"/>
          <w:szCs w:val="24"/>
        </w:rPr>
        <w:t xml:space="preserve">. </w:t>
      </w:r>
      <w:r w:rsidRPr="009420A2">
        <w:rPr>
          <w:rFonts w:cs="Times New Roman"/>
          <w:b w:val="0"/>
          <w:bCs/>
          <w:sz w:val="24"/>
          <w:szCs w:val="24"/>
        </w:rPr>
        <w:t>[</w:t>
      </w:r>
      <w:proofErr w:type="spellStart"/>
      <w:r w:rsidRPr="009420A2">
        <w:rPr>
          <w:b w:val="0"/>
          <w:bCs/>
          <w:sz w:val="24"/>
          <w:szCs w:val="24"/>
        </w:rPr>
        <w:t>Consult</w:t>
      </w:r>
      <w:proofErr w:type="spellEnd"/>
      <w:r w:rsidRPr="009420A2">
        <w:rPr>
          <w:b w:val="0"/>
          <w:bCs/>
          <w:sz w:val="24"/>
          <w:szCs w:val="24"/>
        </w:rPr>
        <w:t>. 07 jan. 2020</w:t>
      </w:r>
      <w:r w:rsidRPr="009420A2">
        <w:rPr>
          <w:rFonts w:cs="Times New Roman"/>
          <w:b w:val="0"/>
          <w:bCs/>
          <w:sz w:val="24"/>
          <w:szCs w:val="24"/>
        </w:rPr>
        <w:t xml:space="preserve">]. Disponível em </w:t>
      </w:r>
      <w:r w:rsidRPr="009420A2">
        <w:rPr>
          <w:b w:val="0"/>
          <w:bCs/>
          <w:sz w:val="24"/>
          <w:szCs w:val="24"/>
        </w:rPr>
        <w:t xml:space="preserve">http://www.dgsi.pt/jstj.nsf/-/87BB42A7F2CF6B24802568FC003B7D93.  </w:t>
      </w:r>
    </w:p>
    <w:p w14:paraId="2117D142" w14:textId="77777777" w:rsidR="009420A2" w:rsidRDefault="009420A2" w:rsidP="00FC165D">
      <w:pPr>
        <w:spacing w:line="240" w:lineRule="auto"/>
        <w:ind w:left="284" w:hanging="284"/>
        <w:rPr>
          <w:rFonts w:cs="Times New Roman"/>
          <w:b w:val="0"/>
        </w:rPr>
      </w:pPr>
    </w:p>
    <w:p w14:paraId="29C38F18" w14:textId="77777777" w:rsidR="00221119" w:rsidRPr="000B194E" w:rsidRDefault="00221119" w:rsidP="00221119">
      <w:pPr>
        <w:spacing w:line="240" w:lineRule="auto"/>
        <w:ind w:left="284" w:hanging="284"/>
        <w:rPr>
          <w:rFonts w:cs="Times New Roman"/>
          <w:b w:val="0"/>
        </w:rPr>
      </w:pPr>
      <w:r>
        <w:rPr>
          <w:rFonts w:cs="Times New Roman"/>
          <w:b w:val="0"/>
        </w:rPr>
        <w:t xml:space="preserve">PAULO, Beatrice Marinho – A relação fraterna nas novas configurações familiares: Vínculo </w:t>
      </w:r>
      <w:proofErr w:type="spellStart"/>
      <w:r>
        <w:rPr>
          <w:rFonts w:cs="Times New Roman"/>
          <w:b w:val="0"/>
        </w:rPr>
        <w:t>psicossocioafetivo</w:t>
      </w:r>
      <w:proofErr w:type="spellEnd"/>
      <w:r>
        <w:rPr>
          <w:rFonts w:cs="Times New Roman"/>
          <w:b w:val="0"/>
        </w:rPr>
        <w:t xml:space="preserve">. </w:t>
      </w:r>
      <w:r w:rsidRPr="00DA1B19">
        <w:rPr>
          <w:rFonts w:cs="Times New Roman"/>
          <w:bCs/>
        </w:rPr>
        <w:t>Revista Brasileira de Direito das Famílias e Sucessões</w:t>
      </w:r>
      <w:r>
        <w:rPr>
          <w:rFonts w:cs="Times New Roman"/>
          <w:b w:val="0"/>
        </w:rPr>
        <w:t xml:space="preserve">. Porto Alegre Editora Magister, volume 7, n° 8 (01 </w:t>
      </w:r>
      <w:proofErr w:type="spellStart"/>
      <w:r>
        <w:rPr>
          <w:rFonts w:cs="Times New Roman"/>
          <w:b w:val="0"/>
        </w:rPr>
        <w:t>fev</w:t>
      </w:r>
      <w:proofErr w:type="spellEnd"/>
      <w:r>
        <w:rPr>
          <w:rFonts w:cs="Times New Roman"/>
          <w:b w:val="0"/>
        </w:rPr>
        <w:t xml:space="preserve"> 2009).</w:t>
      </w:r>
    </w:p>
    <w:p w14:paraId="4E555573" w14:textId="77777777" w:rsidR="00221119" w:rsidRDefault="00221119" w:rsidP="00FC165D">
      <w:pPr>
        <w:spacing w:line="240" w:lineRule="auto"/>
        <w:ind w:left="284" w:hanging="284"/>
        <w:rPr>
          <w:rFonts w:cs="Times New Roman"/>
          <w:b w:val="0"/>
        </w:rPr>
      </w:pPr>
    </w:p>
    <w:p w14:paraId="3ABBEC6D" w14:textId="77777777" w:rsidR="00C236E6" w:rsidRPr="00F64802" w:rsidRDefault="00C236E6" w:rsidP="00FC165D">
      <w:pPr>
        <w:spacing w:line="240" w:lineRule="auto"/>
        <w:ind w:left="284" w:hanging="284"/>
        <w:rPr>
          <w:rFonts w:cs="Times New Roman"/>
          <w:b w:val="0"/>
        </w:rPr>
      </w:pPr>
      <w:r>
        <w:rPr>
          <w:rFonts w:cs="Times New Roman"/>
          <w:b w:val="0"/>
        </w:rPr>
        <w:t>PELUSO, Cezar (</w:t>
      </w:r>
      <w:proofErr w:type="spellStart"/>
      <w:r>
        <w:rPr>
          <w:rFonts w:cs="Times New Roman"/>
          <w:b w:val="0"/>
        </w:rPr>
        <w:t>coord</w:t>
      </w:r>
      <w:proofErr w:type="spellEnd"/>
      <w:r>
        <w:rPr>
          <w:rFonts w:cs="Times New Roman"/>
          <w:b w:val="0"/>
        </w:rPr>
        <w:t xml:space="preserve">) – </w:t>
      </w:r>
      <w:r w:rsidRPr="008F4C7C">
        <w:rPr>
          <w:rFonts w:cs="Times New Roman"/>
          <w:bCs/>
        </w:rPr>
        <w:t>Código Civil comentado: Doutrina e Jurisprudência.</w:t>
      </w:r>
      <w:r>
        <w:rPr>
          <w:rFonts w:cs="Times New Roman"/>
          <w:b w:val="0"/>
        </w:rPr>
        <w:t xml:space="preserve"> Barueri/SP: Manole, 2010.</w:t>
      </w:r>
    </w:p>
    <w:p w14:paraId="5669EEA8" w14:textId="77777777" w:rsidR="0086633F" w:rsidRDefault="0086633F" w:rsidP="00FC165D">
      <w:pPr>
        <w:pStyle w:val="Textodenotaderodap"/>
        <w:spacing w:line="240" w:lineRule="auto"/>
        <w:ind w:left="284" w:hanging="284"/>
        <w:rPr>
          <w:rFonts w:cs="Times New Roman"/>
          <w:b w:val="0"/>
          <w:sz w:val="24"/>
          <w:szCs w:val="24"/>
        </w:rPr>
      </w:pPr>
    </w:p>
    <w:p w14:paraId="214FCD82" w14:textId="3292D6B4" w:rsidR="000B194E" w:rsidRPr="000B194E" w:rsidRDefault="000B194E" w:rsidP="00FC165D">
      <w:pPr>
        <w:pStyle w:val="Textodenotaderodap"/>
        <w:spacing w:line="240" w:lineRule="auto"/>
        <w:ind w:left="284" w:hanging="284"/>
        <w:rPr>
          <w:rFonts w:cs="Times New Roman"/>
          <w:b w:val="0"/>
          <w:sz w:val="24"/>
          <w:szCs w:val="24"/>
        </w:rPr>
      </w:pPr>
      <w:r w:rsidRPr="000B194E">
        <w:rPr>
          <w:rFonts w:cs="Times New Roman"/>
          <w:b w:val="0"/>
          <w:sz w:val="24"/>
          <w:szCs w:val="24"/>
        </w:rPr>
        <w:t xml:space="preserve">PEREIRA, Caio Mario da Silva - </w:t>
      </w:r>
      <w:r w:rsidRPr="000B194E">
        <w:rPr>
          <w:rFonts w:cs="Times New Roman"/>
          <w:sz w:val="24"/>
          <w:szCs w:val="24"/>
        </w:rPr>
        <w:t>Instituições de direito civil: direito de família</w:t>
      </w:r>
      <w:r w:rsidRPr="000B194E">
        <w:rPr>
          <w:rFonts w:cs="Times New Roman"/>
          <w:b w:val="0"/>
          <w:sz w:val="24"/>
          <w:szCs w:val="24"/>
        </w:rPr>
        <w:t xml:space="preserve">. </w:t>
      </w:r>
      <w:r w:rsidR="00285394">
        <w:rPr>
          <w:rFonts w:cs="Times New Roman"/>
          <w:b w:val="0"/>
          <w:sz w:val="24"/>
          <w:szCs w:val="24"/>
        </w:rPr>
        <w:t xml:space="preserve">Volume V. </w:t>
      </w:r>
      <w:r w:rsidRPr="000B194E">
        <w:rPr>
          <w:rFonts w:cs="Times New Roman"/>
          <w:b w:val="0"/>
          <w:sz w:val="24"/>
          <w:szCs w:val="24"/>
        </w:rPr>
        <w:t>Rio de Janeiro: Forense, 201</w:t>
      </w:r>
      <w:r w:rsidR="00491177">
        <w:rPr>
          <w:rFonts w:cs="Times New Roman"/>
          <w:b w:val="0"/>
          <w:sz w:val="24"/>
          <w:szCs w:val="24"/>
        </w:rPr>
        <w:t>4</w:t>
      </w:r>
      <w:r w:rsidRPr="000B194E">
        <w:rPr>
          <w:rFonts w:cs="Times New Roman"/>
          <w:b w:val="0"/>
          <w:sz w:val="24"/>
          <w:szCs w:val="24"/>
        </w:rPr>
        <w:t>.</w:t>
      </w:r>
    </w:p>
    <w:p w14:paraId="0D8BC201" w14:textId="77777777" w:rsidR="000B194E" w:rsidRPr="000B194E" w:rsidRDefault="000B194E" w:rsidP="00FC165D">
      <w:pPr>
        <w:pStyle w:val="Textodenotaderodap"/>
        <w:spacing w:line="240" w:lineRule="auto"/>
        <w:ind w:left="284" w:hanging="284"/>
        <w:rPr>
          <w:rFonts w:cs="Times New Roman"/>
          <w:b w:val="0"/>
          <w:sz w:val="24"/>
          <w:szCs w:val="24"/>
        </w:rPr>
      </w:pPr>
    </w:p>
    <w:p w14:paraId="6B5C22CE" w14:textId="77777777" w:rsidR="000E3544" w:rsidRDefault="000E3544" w:rsidP="00FC165D">
      <w:pPr>
        <w:spacing w:line="240" w:lineRule="auto"/>
        <w:ind w:left="284" w:hanging="284"/>
        <w:rPr>
          <w:rFonts w:cs="Times New Roman"/>
          <w:b w:val="0"/>
        </w:rPr>
      </w:pPr>
      <w:r>
        <w:rPr>
          <w:rFonts w:cs="Times New Roman"/>
          <w:b w:val="0"/>
        </w:rPr>
        <w:t xml:space="preserve">PEREIRA, Rodrigo da Cunha – </w:t>
      </w:r>
      <w:r w:rsidRPr="000E3544">
        <w:rPr>
          <w:rFonts w:cs="Times New Roman"/>
          <w:bCs/>
        </w:rPr>
        <w:t>Direito de Família e o novo Código Civil</w:t>
      </w:r>
      <w:r>
        <w:rPr>
          <w:rFonts w:cs="Times New Roman"/>
          <w:b w:val="0"/>
        </w:rPr>
        <w:t>. Belo Horizonte: Del Rey/IBDFAM, 2002.</w:t>
      </w:r>
    </w:p>
    <w:p w14:paraId="48B01F0A" w14:textId="77777777" w:rsidR="007869E0" w:rsidRDefault="007869E0" w:rsidP="00FC165D">
      <w:pPr>
        <w:spacing w:line="240" w:lineRule="auto"/>
        <w:ind w:left="284" w:hanging="284"/>
        <w:rPr>
          <w:rFonts w:cs="Times New Roman"/>
          <w:b w:val="0"/>
        </w:rPr>
      </w:pPr>
    </w:p>
    <w:p w14:paraId="27A3932F" w14:textId="02F0F487" w:rsidR="007869E0" w:rsidRDefault="007869E0" w:rsidP="00FC165D">
      <w:pPr>
        <w:spacing w:line="240" w:lineRule="auto"/>
        <w:ind w:left="284" w:hanging="284"/>
        <w:rPr>
          <w:rFonts w:cs="Times New Roman"/>
          <w:b w:val="0"/>
        </w:rPr>
      </w:pPr>
      <w:r>
        <w:rPr>
          <w:rFonts w:cs="Times New Roman"/>
          <w:b w:val="0"/>
        </w:rPr>
        <w:t xml:space="preserve">______ - Famílias ensambladas e parentalidade socioafetivas: a propósito da sentença do Tribunal Constitucional de 30.11.2007. </w:t>
      </w:r>
      <w:r w:rsidRPr="00DA1B19">
        <w:rPr>
          <w:rFonts w:cs="Times New Roman"/>
          <w:bCs/>
        </w:rPr>
        <w:t>Revista Brasileira de Direito das Famílias e Sucessões</w:t>
      </w:r>
      <w:r>
        <w:rPr>
          <w:rFonts w:cs="Times New Roman"/>
          <w:b w:val="0"/>
        </w:rPr>
        <w:t xml:space="preserve">. Porto Alegre Editora Magister, volume 7, n° 10 (01 </w:t>
      </w:r>
      <w:proofErr w:type="spellStart"/>
      <w:r>
        <w:rPr>
          <w:rFonts w:cs="Times New Roman"/>
          <w:b w:val="0"/>
        </w:rPr>
        <w:t>jan</w:t>
      </w:r>
      <w:proofErr w:type="spellEnd"/>
      <w:r>
        <w:rPr>
          <w:rFonts w:cs="Times New Roman"/>
          <w:b w:val="0"/>
        </w:rPr>
        <w:t xml:space="preserve"> 2009).</w:t>
      </w:r>
    </w:p>
    <w:p w14:paraId="70E19F67" w14:textId="1AAD33C0" w:rsidR="0099207C" w:rsidRDefault="0099207C" w:rsidP="00FC165D">
      <w:pPr>
        <w:spacing w:line="240" w:lineRule="auto"/>
        <w:ind w:left="284" w:hanging="284"/>
        <w:rPr>
          <w:rFonts w:cs="Times New Roman"/>
          <w:b w:val="0"/>
        </w:rPr>
      </w:pPr>
    </w:p>
    <w:p w14:paraId="7F673B3D" w14:textId="77777777" w:rsidR="0099207C" w:rsidRPr="00863626" w:rsidRDefault="0099207C" w:rsidP="0099207C">
      <w:pPr>
        <w:spacing w:line="240" w:lineRule="auto"/>
        <w:ind w:left="284" w:hanging="284"/>
        <w:rPr>
          <w:rFonts w:cs="Times New Roman"/>
          <w:b w:val="0"/>
        </w:rPr>
      </w:pPr>
      <w:r>
        <w:rPr>
          <w:b w:val="0"/>
        </w:rPr>
        <w:t xml:space="preserve">PEREZ </w:t>
      </w:r>
      <w:r w:rsidRPr="00863626">
        <w:rPr>
          <w:b w:val="0"/>
        </w:rPr>
        <w:t xml:space="preserve">LUNÕ, </w:t>
      </w:r>
      <w:proofErr w:type="spellStart"/>
      <w:r w:rsidRPr="00863626">
        <w:rPr>
          <w:b w:val="0"/>
        </w:rPr>
        <w:t>Antonio</w:t>
      </w:r>
      <w:proofErr w:type="spellEnd"/>
      <w:r w:rsidRPr="00863626">
        <w:rPr>
          <w:b w:val="0"/>
        </w:rPr>
        <w:t xml:space="preserve"> E</w:t>
      </w:r>
      <w:r>
        <w:rPr>
          <w:b w:val="0"/>
        </w:rPr>
        <w:t>nrique</w:t>
      </w:r>
      <w:r w:rsidRPr="00863626">
        <w:rPr>
          <w:b w:val="0"/>
        </w:rPr>
        <w:t xml:space="preserve"> – </w:t>
      </w:r>
      <w:r w:rsidRPr="00863626">
        <w:t xml:space="preserve">Los </w:t>
      </w:r>
      <w:proofErr w:type="spellStart"/>
      <w:r w:rsidRPr="00863626">
        <w:t>derechos</w:t>
      </w:r>
      <w:proofErr w:type="spellEnd"/>
      <w:r w:rsidRPr="00863626">
        <w:t xml:space="preserve"> </w:t>
      </w:r>
      <w:proofErr w:type="spellStart"/>
      <w:r w:rsidRPr="00863626">
        <w:t>fundamentales</w:t>
      </w:r>
      <w:proofErr w:type="spellEnd"/>
      <w:r w:rsidRPr="00863626">
        <w:t>.</w:t>
      </w:r>
      <w:r w:rsidRPr="00863626">
        <w:rPr>
          <w:b w:val="0"/>
        </w:rPr>
        <w:t xml:space="preserve"> Madrid: Tecnos, 2007</w:t>
      </w:r>
      <w:r>
        <w:rPr>
          <w:b w:val="0"/>
        </w:rPr>
        <w:t>.</w:t>
      </w:r>
    </w:p>
    <w:p w14:paraId="49522FAA" w14:textId="77777777" w:rsidR="000B194E" w:rsidRPr="000745F5" w:rsidRDefault="000B194E" w:rsidP="00FC165D">
      <w:pPr>
        <w:spacing w:line="240" w:lineRule="auto"/>
        <w:ind w:left="284" w:hanging="284"/>
        <w:rPr>
          <w:rFonts w:cs="Times New Roman"/>
          <w:b w:val="0"/>
        </w:rPr>
      </w:pPr>
    </w:p>
    <w:p w14:paraId="70FB726F" w14:textId="77777777" w:rsidR="000745F5" w:rsidRPr="000745F5" w:rsidRDefault="000745F5" w:rsidP="00FC165D">
      <w:pPr>
        <w:spacing w:line="240" w:lineRule="auto"/>
        <w:ind w:left="284" w:hanging="284"/>
        <w:rPr>
          <w:rFonts w:cs="Times New Roman"/>
          <w:b w:val="0"/>
        </w:rPr>
      </w:pPr>
      <w:r w:rsidRPr="000745F5">
        <w:rPr>
          <w:b w:val="0"/>
          <w:bCs/>
        </w:rPr>
        <w:t xml:space="preserve">PIMENTA, Jose da Costa – </w:t>
      </w:r>
      <w:r w:rsidRPr="000745F5">
        <w:t>Filiação</w:t>
      </w:r>
      <w:r w:rsidRPr="000745F5">
        <w:rPr>
          <w:b w:val="0"/>
          <w:bCs/>
        </w:rPr>
        <w:t xml:space="preserve">. Lisboa: </w:t>
      </w:r>
      <w:proofErr w:type="spellStart"/>
      <w:r w:rsidRPr="000745F5">
        <w:rPr>
          <w:b w:val="0"/>
          <w:bCs/>
        </w:rPr>
        <w:t>Petrony</w:t>
      </w:r>
      <w:proofErr w:type="spellEnd"/>
      <w:r w:rsidRPr="000745F5">
        <w:rPr>
          <w:b w:val="0"/>
          <w:bCs/>
        </w:rPr>
        <w:t>, 2001.</w:t>
      </w:r>
    </w:p>
    <w:p w14:paraId="7961F8D1" w14:textId="77777777" w:rsidR="000745F5" w:rsidRDefault="000745F5" w:rsidP="00FC165D">
      <w:pPr>
        <w:spacing w:line="240" w:lineRule="auto"/>
        <w:ind w:left="284" w:hanging="284"/>
        <w:rPr>
          <w:b w:val="0"/>
          <w:bCs/>
        </w:rPr>
      </w:pPr>
    </w:p>
    <w:p w14:paraId="3E936ABA" w14:textId="77777777" w:rsidR="00927DC7" w:rsidRDefault="00502223" w:rsidP="00FC165D">
      <w:pPr>
        <w:spacing w:line="240" w:lineRule="auto"/>
        <w:ind w:left="284" w:hanging="284"/>
        <w:rPr>
          <w:b w:val="0"/>
          <w:bCs/>
        </w:rPr>
      </w:pPr>
      <w:r w:rsidRPr="003519CE">
        <w:rPr>
          <w:b w:val="0"/>
          <w:bCs/>
        </w:rPr>
        <w:t xml:space="preserve">PINHEIRO, Jorge Duarte – </w:t>
      </w:r>
      <w:r w:rsidRPr="003519CE">
        <w:t>O direito d</w:t>
      </w:r>
      <w:r>
        <w:t>a</w:t>
      </w:r>
      <w:r w:rsidRPr="003519CE">
        <w:t xml:space="preserve"> família contemporâneo</w:t>
      </w:r>
      <w:r>
        <w:rPr>
          <w:b w:val="0"/>
          <w:bCs/>
        </w:rPr>
        <w:t>. Coimbra: Edições Almedina, 2016. ISBN 978-972-406-763-6.</w:t>
      </w:r>
    </w:p>
    <w:p w14:paraId="387244B4" w14:textId="77777777" w:rsidR="00502223" w:rsidRDefault="00502223" w:rsidP="00FC165D">
      <w:pPr>
        <w:spacing w:line="240" w:lineRule="auto"/>
        <w:ind w:left="284" w:hanging="284"/>
        <w:rPr>
          <w:rFonts w:cs="Times New Roman"/>
          <w:b w:val="0"/>
        </w:rPr>
      </w:pPr>
    </w:p>
    <w:p w14:paraId="1EA4799D" w14:textId="77777777" w:rsidR="0023555D" w:rsidRPr="0023555D" w:rsidRDefault="0023555D" w:rsidP="0023555D">
      <w:pPr>
        <w:pStyle w:val="Textodenotaderodap"/>
        <w:spacing w:line="240" w:lineRule="auto"/>
        <w:ind w:left="142" w:hanging="142"/>
        <w:rPr>
          <w:sz w:val="24"/>
          <w:szCs w:val="24"/>
        </w:rPr>
      </w:pPr>
      <w:r w:rsidRPr="0023555D">
        <w:rPr>
          <w:b w:val="0"/>
          <w:bCs/>
          <w:sz w:val="24"/>
          <w:szCs w:val="24"/>
        </w:rPr>
        <w:t xml:space="preserve">PIRES, Alex Sander Xavier; TRINDADE, Carla </w:t>
      </w:r>
      <w:proofErr w:type="spellStart"/>
      <w:r w:rsidRPr="0023555D">
        <w:rPr>
          <w:b w:val="0"/>
          <w:bCs/>
          <w:sz w:val="24"/>
          <w:szCs w:val="24"/>
        </w:rPr>
        <w:t>Dolezel</w:t>
      </w:r>
      <w:proofErr w:type="spellEnd"/>
      <w:r w:rsidRPr="0023555D">
        <w:rPr>
          <w:b w:val="0"/>
          <w:bCs/>
          <w:sz w:val="24"/>
          <w:szCs w:val="24"/>
        </w:rPr>
        <w:t xml:space="preserve">; AZNAR FILHO, Simão – </w:t>
      </w:r>
      <w:r w:rsidRPr="0023555D">
        <w:rPr>
          <w:sz w:val="24"/>
          <w:szCs w:val="24"/>
        </w:rPr>
        <w:t>Constitucionalismo Luso-Brasilero – leitura normativa no âmbito do domínio da lei e da humanização das relações.</w:t>
      </w:r>
      <w:r w:rsidRPr="0023555D">
        <w:rPr>
          <w:b w:val="0"/>
          <w:bCs/>
          <w:sz w:val="24"/>
          <w:szCs w:val="24"/>
        </w:rPr>
        <w:t xml:space="preserve"> Rio de Janeiro, 2017. ISBN 978-85-909488-4-1. </w:t>
      </w:r>
    </w:p>
    <w:p w14:paraId="26DA38A7" w14:textId="77777777" w:rsidR="004504C5" w:rsidRDefault="004504C5" w:rsidP="00FC165D">
      <w:pPr>
        <w:spacing w:line="240" w:lineRule="auto"/>
        <w:ind w:left="284" w:hanging="284"/>
        <w:rPr>
          <w:rFonts w:cs="Times New Roman"/>
          <w:b w:val="0"/>
        </w:rPr>
      </w:pPr>
    </w:p>
    <w:p w14:paraId="6CE5B9E5" w14:textId="77777777" w:rsidR="00231CF5" w:rsidRPr="00A96814" w:rsidRDefault="00231CF5" w:rsidP="00231CF5">
      <w:pPr>
        <w:spacing w:line="240" w:lineRule="auto"/>
        <w:ind w:left="284" w:hanging="284"/>
        <w:rPr>
          <w:b w:val="0"/>
        </w:rPr>
      </w:pPr>
      <w:r>
        <w:rPr>
          <w:rFonts w:cs="Times New Roman"/>
          <w:b w:val="0"/>
        </w:rPr>
        <w:t xml:space="preserve">PROVIMENTO n° 16/2012. </w:t>
      </w:r>
      <w:r w:rsidRPr="00496779">
        <w:rPr>
          <w:rFonts w:cs="Times New Roman"/>
          <w:bCs/>
        </w:rPr>
        <w:t>Conselho Nacional de Justiça.</w:t>
      </w:r>
      <w:r>
        <w:rPr>
          <w:rFonts w:cs="Times New Roman"/>
          <w:b w:val="0"/>
        </w:rPr>
        <w:t xml:space="preserve"> </w:t>
      </w:r>
      <w:r w:rsidRPr="0072071C">
        <w:rPr>
          <w:b w:val="0"/>
          <w:bCs/>
        </w:rPr>
        <w:t>[Em linha].</w:t>
      </w:r>
      <w:r w:rsidRPr="0072071C">
        <w:rPr>
          <w:rFonts w:cs="Times New Roman"/>
          <w:b w:val="0"/>
        </w:rPr>
        <w:t xml:space="preserve"> </w:t>
      </w:r>
      <w:r>
        <w:rPr>
          <w:rFonts w:cs="Times New Roman"/>
          <w:b w:val="0"/>
        </w:rPr>
        <w:t xml:space="preserve">(17-02-2012). </w:t>
      </w:r>
      <w:r w:rsidRPr="00A96814">
        <w:rPr>
          <w:rFonts w:cs="Times New Roman"/>
          <w:b w:val="0"/>
        </w:rPr>
        <w:t xml:space="preserve">Disponível em </w:t>
      </w:r>
      <w:r w:rsidRPr="00CC5195">
        <w:rPr>
          <w:b w:val="0"/>
        </w:rPr>
        <w:t>https://www.cnj.jus.br/images/Provimento_N16.pdf</w:t>
      </w:r>
      <w:r w:rsidRPr="00A96814">
        <w:rPr>
          <w:b w:val="0"/>
        </w:rPr>
        <w:t xml:space="preserve">. </w:t>
      </w:r>
    </w:p>
    <w:p w14:paraId="441970D0" w14:textId="77777777" w:rsidR="00231CF5" w:rsidRDefault="00231CF5" w:rsidP="00231CF5">
      <w:pPr>
        <w:ind w:firstLine="0"/>
      </w:pPr>
    </w:p>
    <w:p w14:paraId="1F09C7B0" w14:textId="77777777" w:rsidR="00231CF5" w:rsidRPr="00A96814" w:rsidRDefault="00231CF5" w:rsidP="00231CF5">
      <w:pPr>
        <w:spacing w:line="240" w:lineRule="auto"/>
        <w:ind w:left="284" w:hanging="284"/>
        <w:rPr>
          <w:b w:val="0"/>
          <w:bCs/>
        </w:rPr>
      </w:pPr>
      <w:r>
        <w:rPr>
          <w:rFonts w:cs="Times New Roman"/>
          <w:b w:val="0"/>
        </w:rPr>
        <w:t xml:space="preserve">PROVIMENTO n° 52/2016. </w:t>
      </w:r>
      <w:r w:rsidRPr="00496779">
        <w:rPr>
          <w:rFonts w:cs="Times New Roman"/>
          <w:bCs/>
        </w:rPr>
        <w:t>Conselho Nacional de Justiça.</w:t>
      </w:r>
      <w:r>
        <w:rPr>
          <w:rFonts w:cs="Times New Roman"/>
          <w:b w:val="0"/>
        </w:rPr>
        <w:t xml:space="preserve"> </w:t>
      </w:r>
      <w:r w:rsidRPr="0072071C">
        <w:rPr>
          <w:b w:val="0"/>
          <w:bCs/>
        </w:rPr>
        <w:t>[Em linha].</w:t>
      </w:r>
      <w:r w:rsidRPr="0072071C">
        <w:rPr>
          <w:rFonts w:cs="Times New Roman"/>
          <w:b w:val="0"/>
        </w:rPr>
        <w:t xml:space="preserve"> </w:t>
      </w:r>
      <w:r>
        <w:rPr>
          <w:rFonts w:cs="Times New Roman"/>
          <w:b w:val="0"/>
        </w:rPr>
        <w:t xml:space="preserve">(14-03-2016). </w:t>
      </w:r>
      <w:r w:rsidRPr="0072071C">
        <w:rPr>
          <w:rFonts w:cs="Times New Roman"/>
          <w:b w:val="0"/>
        </w:rPr>
        <w:t xml:space="preserve">Disponível </w:t>
      </w:r>
      <w:r w:rsidRPr="00EA6A84">
        <w:rPr>
          <w:rFonts w:cs="Times New Roman"/>
          <w:b w:val="0"/>
        </w:rPr>
        <w:t>em</w:t>
      </w:r>
      <w:r>
        <w:rPr>
          <w:rFonts w:cs="Times New Roman"/>
          <w:b w:val="0"/>
        </w:rPr>
        <w:t xml:space="preserve"> </w:t>
      </w:r>
      <w:r w:rsidRPr="00CC5195">
        <w:rPr>
          <w:b w:val="0"/>
          <w:bCs/>
        </w:rPr>
        <w:t>http://www.cnj.jus.br/files/conteudo/arquivo/2016/03/6bd953c10912313a24633f1a1e6535e1.pdf</w:t>
      </w:r>
      <w:r w:rsidRPr="00A96814">
        <w:rPr>
          <w:b w:val="0"/>
          <w:bCs/>
        </w:rPr>
        <w:t xml:space="preserve">. </w:t>
      </w:r>
    </w:p>
    <w:p w14:paraId="553E6289" w14:textId="77777777" w:rsidR="00231CF5" w:rsidRDefault="00231CF5" w:rsidP="00231CF5">
      <w:pPr>
        <w:ind w:firstLine="0"/>
      </w:pPr>
    </w:p>
    <w:p w14:paraId="5556F311" w14:textId="77777777" w:rsidR="00231CF5" w:rsidRPr="00A96814" w:rsidRDefault="00231CF5" w:rsidP="00231CF5">
      <w:pPr>
        <w:spacing w:line="240" w:lineRule="auto"/>
        <w:ind w:left="284" w:hanging="284"/>
        <w:rPr>
          <w:b w:val="0"/>
        </w:rPr>
      </w:pPr>
      <w:r>
        <w:rPr>
          <w:rFonts w:cs="Times New Roman"/>
          <w:b w:val="0"/>
        </w:rPr>
        <w:t xml:space="preserve">PROVIMENTO n° 63/2017. </w:t>
      </w:r>
      <w:r w:rsidRPr="00496779">
        <w:rPr>
          <w:rFonts w:cs="Times New Roman"/>
          <w:bCs/>
        </w:rPr>
        <w:t>Conselho Nacional de Justiça.</w:t>
      </w:r>
      <w:r>
        <w:rPr>
          <w:rFonts w:cs="Times New Roman"/>
          <w:b w:val="0"/>
        </w:rPr>
        <w:t xml:space="preserve"> </w:t>
      </w:r>
      <w:r w:rsidRPr="0072071C">
        <w:rPr>
          <w:b w:val="0"/>
          <w:bCs/>
        </w:rPr>
        <w:t>[Em linha].</w:t>
      </w:r>
      <w:r w:rsidRPr="0072071C">
        <w:rPr>
          <w:rFonts w:cs="Times New Roman"/>
          <w:b w:val="0"/>
        </w:rPr>
        <w:t xml:space="preserve"> </w:t>
      </w:r>
      <w:r>
        <w:rPr>
          <w:rFonts w:cs="Times New Roman"/>
          <w:b w:val="0"/>
        </w:rPr>
        <w:t xml:space="preserve">(14-11-2017). </w:t>
      </w:r>
      <w:r w:rsidRPr="00A96814">
        <w:rPr>
          <w:rFonts w:cs="Times New Roman"/>
          <w:b w:val="0"/>
        </w:rPr>
        <w:t xml:space="preserve">Disponível em </w:t>
      </w:r>
      <w:r w:rsidRPr="00CC5195">
        <w:rPr>
          <w:b w:val="0"/>
        </w:rPr>
        <w:t>https://www.cnj.jus.br/busca-atos-adm?documento=3380</w:t>
      </w:r>
      <w:r w:rsidRPr="00A96814">
        <w:rPr>
          <w:b w:val="0"/>
        </w:rPr>
        <w:t>.</w:t>
      </w:r>
    </w:p>
    <w:p w14:paraId="03B7B017" w14:textId="77777777" w:rsidR="000B194E" w:rsidRPr="000B194E" w:rsidRDefault="000B194E" w:rsidP="00FC165D">
      <w:pPr>
        <w:spacing w:line="240" w:lineRule="auto"/>
        <w:ind w:left="284" w:hanging="284"/>
        <w:rPr>
          <w:rFonts w:cs="Times New Roman"/>
          <w:b w:val="0"/>
          <w:color w:val="333333"/>
          <w:shd w:val="clear" w:color="auto" w:fill="FFFFFF"/>
        </w:rPr>
      </w:pPr>
    </w:p>
    <w:p w14:paraId="397394FE" w14:textId="77777777" w:rsidR="00231CF5" w:rsidRPr="00A96814" w:rsidRDefault="00231CF5" w:rsidP="00231CF5">
      <w:pPr>
        <w:spacing w:line="240" w:lineRule="auto"/>
        <w:ind w:left="284" w:hanging="284"/>
        <w:rPr>
          <w:b w:val="0"/>
        </w:rPr>
      </w:pPr>
      <w:r>
        <w:rPr>
          <w:rFonts w:cs="Times New Roman"/>
          <w:b w:val="0"/>
        </w:rPr>
        <w:t xml:space="preserve">RESOLUÇÃO n° 2168/2017. </w:t>
      </w:r>
      <w:r w:rsidRPr="00496779">
        <w:rPr>
          <w:rFonts w:cs="Times New Roman"/>
          <w:bCs/>
        </w:rPr>
        <w:t xml:space="preserve">Conselho </w:t>
      </w:r>
      <w:r>
        <w:rPr>
          <w:rFonts w:cs="Times New Roman"/>
          <w:bCs/>
        </w:rPr>
        <w:t>Federal de Medicina</w:t>
      </w:r>
      <w:r w:rsidRPr="00496779">
        <w:rPr>
          <w:rFonts w:cs="Times New Roman"/>
          <w:bCs/>
        </w:rPr>
        <w:t>.</w:t>
      </w:r>
      <w:r>
        <w:rPr>
          <w:rFonts w:cs="Times New Roman"/>
          <w:b w:val="0"/>
        </w:rPr>
        <w:t xml:space="preserve"> </w:t>
      </w:r>
      <w:r w:rsidRPr="0072071C">
        <w:rPr>
          <w:b w:val="0"/>
          <w:bCs/>
        </w:rPr>
        <w:t>[Em linha].</w:t>
      </w:r>
      <w:r w:rsidRPr="0072071C">
        <w:rPr>
          <w:rFonts w:cs="Times New Roman"/>
          <w:b w:val="0"/>
        </w:rPr>
        <w:t xml:space="preserve"> </w:t>
      </w:r>
      <w:r>
        <w:rPr>
          <w:rFonts w:cs="Times New Roman"/>
          <w:b w:val="0"/>
        </w:rPr>
        <w:t xml:space="preserve">(10-11-2017). </w:t>
      </w:r>
      <w:r w:rsidRPr="00A96814">
        <w:rPr>
          <w:rFonts w:cs="Times New Roman"/>
          <w:b w:val="0"/>
        </w:rPr>
        <w:t xml:space="preserve">Disponível em </w:t>
      </w:r>
      <w:r w:rsidRPr="00CC5195">
        <w:rPr>
          <w:b w:val="0"/>
        </w:rPr>
        <w:t>https://sistemas.cfm.org.br/normas/visualizar/resolucoes/BR/2017/2168</w:t>
      </w:r>
      <w:r w:rsidRPr="00A96814">
        <w:rPr>
          <w:b w:val="0"/>
        </w:rPr>
        <w:t>.</w:t>
      </w:r>
    </w:p>
    <w:p w14:paraId="2227A918" w14:textId="77777777" w:rsidR="0086633F" w:rsidRDefault="0086633F" w:rsidP="00FC165D">
      <w:pPr>
        <w:spacing w:line="240" w:lineRule="auto"/>
        <w:ind w:left="284" w:hanging="284"/>
        <w:rPr>
          <w:rFonts w:cs="Times New Roman"/>
          <w:b w:val="0"/>
        </w:rPr>
      </w:pPr>
    </w:p>
    <w:p w14:paraId="668EC8DF" w14:textId="77777777" w:rsidR="0086633F" w:rsidRPr="00F64802" w:rsidRDefault="0086633F" w:rsidP="00FC165D">
      <w:pPr>
        <w:spacing w:line="240" w:lineRule="auto"/>
        <w:ind w:left="284" w:hanging="284"/>
        <w:rPr>
          <w:rFonts w:cs="Times New Roman"/>
          <w:b w:val="0"/>
        </w:rPr>
      </w:pPr>
      <w:r w:rsidRPr="00F64802">
        <w:rPr>
          <w:rFonts w:cs="Times New Roman"/>
          <w:b w:val="0"/>
        </w:rPr>
        <w:t xml:space="preserve">RIBEIRO, </w:t>
      </w:r>
      <w:proofErr w:type="spellStart"/>
      <w:r w:rsidRPr="00F64802">
        <w:rPr>
          <w:rFonts w:cs="Times New Roman"/>
          <w:b w:val="0"/>
        </w:rPr>
        <w:t>Luis</w:t>
      </w:r>
      <w:proofErr w:type="spellEnd"/>
      <w:r w:rsidRPr="00F64802">
        <w:rPr>
          <w:rFonts w:cs="Times New Roman"/>
          <w:b w:val="0"/>
        </w:rPr>
        <w:t xml:space="preserve"> Paulo </w:t>
      </w:r>
      <w:proofErr w:type="spellStart"/>
      <w:r w:rsidRPr="00F64802">
        <w:rPr>
          <w:rFonts w:cs="Times New Roman"/>
          <w:b w:val="0"/>
        </w:rPr>
        <w:t>Aliende</w:t>
      </w:r>
      <w:proofErr w:type="spellEnd"/>
      <w:r>
        <w:rPr>
          <w:rFonts w:cs="Times New Roman"/>
          <w:b w:val="0"/>
        </w:rPr>
        <w:t xml:space="preserve"> -</w:t>
      </w:r>
      <w:r w:rsidRPr="00F64802">
        <w:rPr>
          <w:rFonts w:cs="Times New Roman"/>
          <w:b w:val="0"/>
        </w:rPr>
        <w:t xml:space="preserve"> </w:t>
      </w:r>
      <w:r w:rsidRPr="007C288C">
        <w:rPr>
          <w:rFonts w:cs="Times New Roman"/>
          <w:bCs/>
        </w:rPr>
        <w:t>Regulação da função pública notarial e registral.</w:t>
      </w:r>
      <w:r w:rsidRPr="00F64802">
        <w:rPr>
          <w:rFonts w:cs="Times New Roman"/>
          <w:b w:val="0"/>
        </w:rPr>
        <w:t xml:space="preserve"> São Paulo: Saraiva, 2009. </w:t>
      </w:r>
    </w:p>
    <w:p w14:paraId="47CEC1A7" w14:textId="77777777" w:rsidR="00C00104" w:rsidRDefault="00C00104" w:rsidP="00FC165D">
      <w:pPr>
        <w:spacing w:line="240" w:lineRule="auto"/>
        <w:ind w:left="284" w:hanging="284"/>
        <w:rPr>
          <w:rFonts w:cs="Times New Roman"/>
          <w:b w:val="0"/>
        </w:rPr>
      </w:pPr>
    </w:p>
    <w:p w14:paraId="61E7EF1F" w14:textId="77777777" w:rsidR="00C00104" w:rsidRDefault="00C00104" w:rsidP="00FC165D">
      <w:pPr>
        <w:spacing w:line="240" w:lineRule="auto"/>
        <w:ind w:left="284" w:hanging="284"/>
        <w:rPr>
          <w:rFonts w:cs="Times New Roman"/>
          <w:b w:val="0"/>
        </w:rPr>
      </w:pPr>
      <w:r>
        <w:rPr>
          <w:rFonts w:cs="Times New Roman"/>
          <w:b w:val="0"/>
        </w:rPr>
        <w:t xml:space="preserve">RIZZARDO, Arnaldo - </w:t>
      </w:r>
      <w:r w:rsidRPr="00C00104">
        <w:rPr>
          <w:rFonts w:cs="Times New Roman"/>
          <w:bCs/>
        </w:rPr>
        <w:t>Direito de Família.</w:t>
      </w:r>
      <w:r>
        <w:rPr>
          <w:rFonts w:cs="Times New Roman"/>
          <w:b w:val="0"/>
        </w:rPr>
        <w:t xml:space="preserve"> Rio de Janeiro: Forense, 2004.</w:t>
      </w:r>
    </w:p>
    <w:p w14:paraId="19CD65BC" w14:textId="77777777" w:rsidR="001F30C6" w:rsidRDefault="001F30C6" w:rsidP="00FC165D">
      <w:pPr>
        <w:spacing w:line="240" w:lineRule="auto"/>
        <w:ind w:left="284" w:hanging="284"/>
        <w:rPr>
          <w:rFonts w:cs="Times New Roman"/>
          <w:b w:val="0"/>
        </w:rPr>
      </w:pPr>
    </w:p>
    <w:p w14:paraId="77C49F3B" w14:textId="77777777" w:rsidR="001F30C6" w:rsidRPr="00F64802" w:rsidRDefault="001F30C6" w:rsidP="00FC165D">
      <w:pPr>
        <w:spacing w:line="240" w:lineRule="auto"/>
        <w:ind w:left="284" w:hanging="284"/>
        <w:rPr>
          <w:rFonts w:cs="Times New Roman"/>
          <w:b w:val="0"/>
        </w:rPr>
      </w:pPr>
      <w:r>
        <w:rPr>
          <w:rFonts w:cs="Times New Roman"/>
          <w:b w:val="0"/>
        </w:rPr>
        <w:t xml:space="preserve">SANTOS, Reinaldo Velloso dos – </w:t>
      </w:r>
      <w:r w:rsidRPr="001F30C6">
        <w:rPr>
          <w:rFonts w:cs="Times New Roman"/>
          <w:bCs/>
        </w:rPr>
        <w:t>Registro Civil das Pessoas Naturais.</w:t>
      </w:r>
      <w:r>
        <w:rPr>
          <w:rFonts w:cs="Times New Roman"/>
          <w:b w:val="0"/>
        </w:rPr>
        <w:t xml:space="preserve"> Porto Alegre: Sergio </w:t>
      </w:r>
      <w:proofErr w:type="spellStart"/>
      <w:r>
        <w:rPr>
          <w:rFonts w:cs="Times New Roman"/>
          <w:b w:val="0"/>
        </w:rPr>
        <w:t>Antonio</w:t>
      </w:r>
      <w:proofErr w:type="spellEnd"/>
      <w:r>
        <w:rPr>
          <w:rFonts w:cs="Times New Roman"/>
          <w:b w:val="0"/>
        </w:rPr>
        <w:t xml:space="preserve"> Fabris, 2006.</w:t>
      </w:r>
    </w:p>
    <w:p w14:paraId="4D1D94A4" w14:textId="77777777" w:rsidR="0086633F" w:rsidRDefault="0086633F" w:rsidP="00FC165D">
      <w:pPr>
        <w:spacing w:line="240" w:lineRule="auto"/>
        <w:ind w:left="284" w:hanging="284"/>
        <w:rPr>
          <w:rFonts w:cs="Times New Roman"/>
          <w:b w:val="0"/>
        </w:rPr>
      </w:pPr>
    </w:p>
    <w:p w14:paraId="15BF2516" w14:textId="77777777" w:rsidR="000E2C70" w:rsidRPr="000E2C70" w:rsidRDefault="000E2C70" w:rsidP="00FC165D">
      <w:pPr>
        <w:spacing w:line="240" w:lineRule="auto"/>
        <w:ind w:left="284" w:hanging="284"/>
        <w:rPr>
          <w:rFonts w:cs="Times New Roman"/>
          <w:b w:val="0"/>
        </w:rPr>
      </w:pPr>
      <w:r w:rsidRPr="000E2C70">
        <w:rPr>
          <w:b w:val="0"/>
          <w:bCs/>
        </w:rPr>
        <w:t xml:space="preserve">SOTTOMAYOR, Maria Clara – Adopção ou o direito ao </w:t>
      </w:r>
      <w:proofErr w:type="spellStart"/>
      <w:r w:rsidRPr="000E2C70">
        <w:rPr>
          <w:b w:val="0"/>
          <w:bCs/>
        </w:rPr>
        <w:t>afecto</w:t>
      </w:r>
      <w:proofErr w:type="spellEnd"/>
      <w:r w:rsidRPr="000E2C70">
        <w:rPr>
          <w:b w:val="0"/>
          <w:bCs/>
        </w:rPr>
        <w:t xml:space="preserve">: Acórdão do Supremo Tribunal de Justiça de 30.11.2004, Rev. 04A3795. </w:t>
      </w:r>
      <w:proofErr w:type="spellStart"/>
      <w:r w:rsidRPr="000E2C70">
        <w:t>Scientia</w:t>
      </w:r>
      <w:proofErr w:type="spellEnd"/>
      <w:r w:rsidRPr="000E2C70">
        <w:t xml:space="preserve"> </w:t>
      </w:r>
      <w:proofErr w:type="spellStart"/>
      <w:r w:rsidRPr="000E2C70">
        <w:t>Iuridica</w:t>
      </w:r>
      <w:proofErr w:type="spellEnd"/>
      <w:r w:rsidRPr="000E2C70">
        <w:t>. Revista de Direito Comparado Português e Brasileiro</w:t>
      </w:r>
      <w:r w:rsidRPr="000E2C70">
        <w:rPr>
          <w:b w:val="0"/>
          <w:bCs/>
        </w:rPr>
        <w:t>. Tomo LIV, n° 301 (</w:t>
      </w:r>
      <w:proofErr w:type="gramStart"/>
      <w:r w:rsidRPr="000E2C70">
        <w:rPr>
          <w:b w:val="0"/>
          <w:bCs/>
        </w:rPr>
        <w:t>Janeiro</w:t>
      </w:r>
      <w:proofErr w:type="gramEnd"/>
      <w:r w:rsidRPr="000E2C70">
        <w:rPr>
          <w:b w:val="0"/>
          <w:bCs/>
        </w:rPr>
        <w:t>/Março 2005).</w:t>
      </w:r>
    </w:p>
    <w:p w14:paraId="60FE678D" w14:textId="77777777" w:rsidR="00A3166B" w:rsidRDefault="00A3166B" w:rsidP="00FC165D">
      <w:pPr>
        <w:spacing w:line="240" w:lineRule="auto"/>
        <w:ind w:left="284" w:hanging="284"/>
        <w:rPr>
          <w:rFonts w:cs="Times New Roman"/>
          <w:b w:val="0"/>
        </w:rPr>
      </w:pPr>
    </w:p>
    <w:p w14:paraId="1AD76CA8" w14:textId="77777777" w:rsidR="00A3166B" w:rsidRPr="00A95C0D" w:rsidRDefault="00A3166B" w:rsidP="00FC165D">
      <w:pPr>
        <w:spacing w:line="240" w:lineRule="auto"/>
        <w:ind w:left="284" w:hanging="284"/>
        <w:rPr>
          <w:rFonts w:cs="Times New Roman"/>
          <w:b w:val="0"/>
        </w:rPr>
      </w:pPr>
      <w:r w:rsidRPr="00157BA1">
        <w:rPr>
          <w:rFonts w:cs="Times New Roman"/>
          <w:b w:val="0"/>
        </w:rPr>
        <w:t xml:space="preserve">SOUZA, Lígia </w:t>
      </w:r>
      <w:proofErr w:type="spellStart"/>
      <w:r w:rsidRPr="00157BA1">
        <w:rPr>
          <w:rFonts w:cs="Times New Roman"/>
          <w:b w:val="0"/>
        </w:rPr>
        <w:t>Arlé</w:t>
      </w:r>
      <w:proofErr w:type="spellEnd"/>
      <w:r w:rsidRPr="00157BA1">
        <w:rPr>
          <w:rFonts w:cs="Times New Roman"/>
          <w:b w:val="0"/>
        </w:rPr>
        <w:t xml:space="preserve"> Ribeiro de - </w:t>
      </w:r>
      <w:r w:rsidRPr="00941A7E">
        <w:rPr>
          <w:rFonts w:cs="Times New Roman"/>
          <w:bCs/>
        </w:rPr>
        <w:t xml:space="preserve">A importância das serventias extrajudiciais no processo de </w:t>
      </w:r>
      <w:r w:rsidRPr="00A95C0D">
        <w:rPr>
          <w:rFonts w:cs="Times New Roman"/>
          <w:bCs/>
        </w:rPr>
        <w:t xml:space="preserve">desjudicialização. </w:t>
      </w:r>
      <w:r w:rsidRPr="00A95C0D">
        <w:rPr>
          <w:rFonts w:cs="Times New Roman"/>
          <w:b w:val="0"/>
        </w:rPr>
        <w:t>[Em linha]. [</w:t>
      </w:r>
      <w:proofErr w:type="spellStart"/>
      <w:r w:rsidRPr="00A95C0D">
        <w:rPr>
          <w:rFonts w:cs="Times New Roman"/>
          <w:b w:val="0"/>
        </w:rPr>
        <w:t>sl</w:t>
      </w:r>
      <w:proofErr w:type="spellEnd"/>
      <w:r w:rsidRPr="00A95C0D">
        <w:rPr>
          <w:rFonts w:cs="Times New Roman"/>
          <w:b w:val="0"/>
        </w:rPr>
        <w:t>.] [</w:t>
      </w:r>
      <w:proofErr w:type="spellStart"/>
      <w:r w:rsidRPr="00A95C0D">
        <w:rPr>
          <w:rFonts w:cs="Times New Roman"/>
          <w:b w:val="0"/>
        </w:rPr>
        <w:t>sn</w:t>
      </w:r>
      <w:proofErr w:type="spellEnd"/>
      <w:r w:rsidRPr="00A95C0D">
        <w:rPr>
          <w:rFonts w:cs="Times New Roman"/>
          <w:b w:val="0"/>
        </w:rPr>
        <w:t>.] (outubro 2011). [</w:t>
      </w:r>
      <w:proofErr w:type="spellStart"/>
      <w:r w:rsidRPr="00A95C0D">
        <w:rPr>
          <w:rFonts w:cs="Times New Roman"/>
          <w:b w:val="0"/>
        </w:rPr>
        <w:t>Consult</w:t>
      </w:r>
      <w:proofErr w:type="spellEnd"/>
      <w:r w:rsidRPr="00A95C0D">
        <w:rPr>
          <w:rFonts w:cs="Times New Roman"/>
          <w:b w:val="0"/>
        </w:rPr>
        <w:t xml:space="preserve">. 18 jan. 2019]. Disponível em </w:t>
      </w:r>
      <w:r w:rsidRPr="00CC5195">
        <w:rPr>
          <w:rFonts w:cs="Times New Roman"/>
          <w:b w:val="0"/>
        </w:rPr>
        <w:t>https://jus.com.br/artigos/20242/a-importancia-das-serventias-extrajudicias-no-processo-de-desjudicializacao/1</w:t>
      </w:r>
      <w:r w:rsidRPr="00A95C0D">
        <w:rPr>
          <w:rFonts w:cs="Times New Roman"/>
          <w:b w:val="0"/>
        </w:rPr>
        <w:t>.</w:t>
      </w:r>
    </w:p>
    <w:p w14:paraId="55703A1A" w14:textId="77777777" w:rsidR="000B194E" w:rsidRPr="000B194E" w:rsidRDefault="000B194E" w:rsidP="00FC165D">
      <w:pPr>
        <w:spacing w:line="240" w:lineRule="auto"/>
        <w:ind w:left="284" w:hanging="284"/>
        <w:rPr>
          <w:rFonts w:cs="Times New Roman"/>
          <w:b w:val="0"/>
        </w:rPr>
      </w:pPr>
    </w:p>
    <w:p w14:paraId="45891A3B" w14:textId="77777777" w:rsidR="00270D99" w:rsidRPr="000B194E" w:rsidRDefault="00270D99" w:rsidP="00FC165D">
      <w:pPr>
        <w:pStyle w:val="Textodenotaderodap"/>
        <w:spacing w:line="240" w:lineRule="auto"/>
        <w:ind w:left="284" w:hanging="284"/>
        <w:rPr>
          <w:rFonts w:cs="Times New Roman"/>
          <w:b w:val="0"/>
          <w:sz w:val="24"/>
          <w:szCs w:val="24"/>
        </w:rPr>
      </w:pPr>
      <w:r>
        <w:rPr>
          <w:rFonts w:cs="Times New Roman"/>
          <w:b w:val="0"/>
          <w:sz w:val="24"/>
          <w:szCs w:val="24"/>
        </w:rPr>
        <w:t xml:space="preserve">TEPEDINO, Gustavo – A disciplina civil-constitucional das relações familiares. In </w:t>
      </w:r>
      <w:r w:rsidRPr="00270D99">
        <w:rPr>
          <w:rFonts w:cs="Times New Roman"/>
          <w:bCs/>
          <w:sz w:val="24"/>
          <w:szCs w:val="24"/>
        </w:rPr>
        <w:t>Temas de direito civil</w:t>
      </w:r>
      <w:r>
        <w:rPr>
          <w:rFonts w:cs="Times New Roman"/>
          <w:b w:val="0"/>
          <w:sz w:val="24"/>
          <w:szCs w:val="24"/>
        </w:rPr>
        <w:t>. 3ª edição. Rio de Janeiro: Editora Renovar, 2004.</w:t>
      </w:r>
    </w:p>
    <w:p w14:paraId="37C03196" w14:textId="77777777" w:rsidR="000B194E" w:rsidRDefault="000B194E" w:rsidP="00FC165D">
      <w:pPr>
        <w:pStyle w:val="Textodenotaderodap"/>
        <w:spacing w:line="240" w:lineRule="auto"/>
        <w:ind w:left="284" w:hanging="284"/>
        <w:rPr>
          <w:rFonts w:cs="Times New Roman"/>
          <w:b w:val="0"/>
          <w:sz w:val="24"/>
          <w:szCs w:val="24"/>
        </w:rPr>
      </w:pPr>
    </w:p>
    <w:p w14:paraId="633B0D66" w14:textId="77777777" w:rsidR="0021301C" w:rsidRDefault="0021301C" w:rsidP="00FC165D">
      <w:pPr>
        <w:pStyle w:val="Textodenotaderodap"/>
        <w:spacing w:line="240" w:lineRule="auto"/>
        <w:ind w:left="284" w:hanging="284"/>
        <w:rPr>
          <w:rFonts w:cs="Times New Roman"/>
          <w:b w:val="0"/>
          <w:sz w:val="24"/>
          <w:szCs w:val="24"/>
        </w:rPr>
      </w:pPr>
      <w:r>
        <w:rPr>
          <w:rFonts w:cs="Times New Roman"/>
          <w:b w:val="0"/>
          <w:sz w:val="24"/>
          <w:szCs w:val="24"/>
        </w:rPr>
        <w:t xml:space="preserve">TORRES, Ricardo Lobo – </w:t>
      </w:r>
      <w:r w:rsidRPr="0021301C">
        <w:rPr>
          <w:rFonts w:cs="Times New Roman"/>
          <w:bCs/>
          <w:sz w:val="24"/>
          <w:szCs w:val="24"/>
        </w:rPr>
        <w:t>Curso de Direito Financeiro e Tributário.</w:t>
      </w:r>
      <w:r>
        <w:rPr>
          <w:rFonts w:cs="Times New Roman"/>
          <w:b w:val="0"/>
          <w:sz w:val="24"/>
          <w:szCs w:val="24"/>
        </w:rPr>
        <w:t xml:space="preserve"> 4ª edição. Rio de Janeiro: Renovar, 1997.</w:t>
      </w:r>
    </w:p>
    <w:p w14:paraId="6B7DEDF3" w14:textId="77777777" w:rsidR="0021301C" w:rsidRPr="000B194E" w:rsidRDefault="0021301C" w:rsidP="00FC165D">
      <w:pPr>
        <w:pStyle w:val="Textodenotaderodap"/>
        <w:spacing w:line="240" w:lineRule="auto"/>
        <w:ind w:left="284" w:hanging="284"/>
        <w:rPr>
          <w:rFonts w:cs="Times New Roman"/>
          <w:b w:val="0"/>
          <w:sz w:val="24"/>
          <w:szCs w:val="24"/>
        </w:rPr>
      </w:pPr>
    </w:p>
    <w:p w14:paraId="591E72B2" w14:textId="77777777" w:rsidR="000B194E" w:rsidRPr="000B194E" w:rsidRDefault="000B194E" w:rsidP="00FC165D">
      <w:pPr>
        <w:pStyle w:val="Textodenotaderodap"/>
        <w:spacing w:line="240" w:lineRule="auto"/>
        <w:ind w:left="284" w:hanging="284"/>
        <w:rPr>
          <w:rFonts w:cs="Times New Roman"/>
          <w:b w:val="0"/>
          <w:sz w:val="24"/>
          <w:szCs w:val="24"/>
        </w:rPr>
      </w:pPr>
      <w:r w:rsidRPr="000B194E">
        <w:rPr>
          <w:rFonts w:cs="Times New Roman"/>
          <w:b w:val="0"/>
          <w:sz w:val="24"/>
          <w:szCs w:val="24"/>
        </w:rPr>
        <w:t xml:space="preserve">VELOSO, Zeno - </w:t>
      </w:r>
      <w:r w:rsidRPr="000B194E">
        <w:rPr>
          <w:rFonts w:cs="Times New Roman"/>
          <w:sz w:val="24"/>
          <w:szCs w:val="24"/>
        </w:rPr>
        <w:t>Direito brasileiro da filiação e paternidade.</w:t>
      </w:r>
      <w:r w:rsidRPr="000B194E">
        <w:rPr>
          <w:rFonts w:cs="Times New Roman"/>
          <w:b w:val="0"/>
          <w:sz w:val="24"/>
          <w:szCs w:val="24"/>
        </w:rPr>
        <w:t xml:space="preserve"> São Paulo: Malheiros Editores, 1997.</w:t>
      </w:r>
    </w:p>
    <w:p w14:paraId="0022F467" w14:textId="77777777" w:rsidR="000B194E" w:rsidRPr="000B194E" w:rsidRDefault="000B194E" w:rsidP="00FC165D">
      <w:pPr>
        <w:spacing w:line="240" w:lineRule="auto"/>
        <w:ind w:left="284" w:hanging="284"/>
        <w:rPr>
          <w:rFonts w:cs="Times New Roman"/>
          <w:b w:val="0"/>
        </w:rPr>
      </w:pPr>
    </w:p>
    <w:p w14:paraId="14940F0D" w14:textId="77777777" w:rsidR="004B07D3" w:rsidRPr="00F64802" w:rsidRDefault="006D7DD1" w:rsidP="00BC2B4E">
      <w:pPr>
        <w:spacing w:line="240" w:lineRule="auto"/>
        <w:ind w:left="284" w:hanging="284"/>
        <w:rPr>
          <w:rFonts w:cs="Times New Roman"/>
          <w:b w:val="0"/>
        </w:rPr>
      </w:pPr>
      <w:r>
        <w:rPr>
          <w:rFonts w:cs="Times New Roman"/>
          <w:b w:val="0"/>
        </w:rPr>
        <w:t xml:space="preserve">WELTER, Belmiro Pedro – </w:t>
      </w:r>
      <w:r w:rsidRPr="006D7DD1">
        <w:rPr>
          <w:rFonts w:cs="Times New Roman"/>
          <w:bCs/>
        </w:rPr>
        <w:t>Igualdade entre as filiações biológicas e socioafetivas.</w:t>
      </w:r>
      <w:r>
        <w:rPr>
          <w:rFonts w:cs="Times New Roman"/>
          <w:b w:val="0"/>
        </w:rPr>
        <w:t xml:space="preserve"> São Paulo: Revista dos Tribunais, 2003.</w:t>
      </w:r>
      <w:r w:rsidR="00BC2B4E" w:rsidRPr="00F64802">
        <w:rPr>
          <w:rFonts w:cs="Times New Roman"/>
          <w:b w:val="0"/>
        </w:rPr>
        <w:t xml:space="preserve"> </w:t>
      </w:r>
    </w:p>
    <w:p w14:paraId="0F123560" w14:textId="77777777" w:rsidR="004B07D3" w:rsidRPr="004B07D3" w:rsidRDefault="004B07D3" w:rsidP="0019705B">
      <w:pPr>
        <w:spacing w:line="240" w:lineRule="auto"/>
        <w:ind w:firstLine="0"/>
        <w:rPr>
          <w:rFonts w:cs="Times New Roman"/>
          <w:b w:val="0"/>
        </w:rPr>
      </w:pPr>
    </w:p>
    <w:p w14:paraId="48965A93" w14:textId="77777777" w:rsidR="004B07D3" w:rsidRPr="004B07D3" w:rsidRDefault="004B07D3" w:rsidP="003C63DA">
      <w:pPr>
        <w:ind w:firstLine="0"/>
        <w:rPr>
          <w:rFonts w:cs="Times New Roman"/>
          <w:b w:val="0"/>
        </w:rPr>
      </w:pPr>
    </w:p>
    <w:sectPr w:rsidR="004B07D3" w:rsidRPr="004B07D3" w:rsidSect="007E0B8C">
      <w:footerReference w:type="default" r:id="rId8"/>
      <w:headerReference w:type="first" r:id="rId9"/>
      <w:pgSz w:w="11906" w:h="16838" w:code="9"/>
      <w:pgMar w:top="1418" w:right="1418" w:bottom="1418" w:left="1418" w:header="709" w:footer="709" w:gutter="0"/>
      <w:cols w:space="708"/>
      <w:titlePg/>
      <w:docGrid w:linePitch="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BFFB0DB" w14:textId="77777777" w:rsidR="008E7500" w:rsidRDefault="008E7500" w:rsidP="00CC0D3C">
      <w:pPr>
        <w:spacing w:line="240" w:lineRule="auto"/>
      </w:pPr>
      <w:r>
        <w:separator/>
      </w:r>
    </w:p>
  </w:endnote>
  <w:endnote w:type="continuationSeparator" w:id="0">
    <w:p w14:paraId="4FEC4A93" w14:textId="77777777" w:rsidR="008E7500" w:rsidRDefault="008E7500" w:rsidP="00CC0D3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Neue LT 57 Cn">
    <w:altName w:val="Arial"/>
    <w:panose1 w:val="00000000000000000000"/>
    <w:charset w:val="00"/>
    <w:family w:val="swiss"/>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427C30" w14:textId="77777777" w:rsidR="00ED6932" w:rsidRDefault="00ED6932">
    <w:pPr>
      <w:pStyle w:val="Rodap"/>
      <w:jc w:val="center"/>
    </w:pPr>
    <w:r>
      <w:fldChar w:fldCharType="begin"/>
    </w:r>
    <w:r>
      <w:instrText>PAGE   \* MERGEFORMAT</w:instrText>
    </w:r>
    <w:r>
      <w:fldChar w:fldCharType="separate"/>
    </w:r>
    <w:r>
      <w:rPr>
        <w:noProof/>
      </w:rPr>
      <w:t>2</w:t>
    </w:r>
    <w:r>
      <w:fldChar w:fldCharType="end"/>
    </w:r>
  </w:p>
  <w:p w14:paraId="18A2FFAD" w14:textId="77777777" w:rsidR="00ED6932" w:rsidRDefault="00ED6932">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4EA644A" w14:textId="77777777" w:rsidR="008E7500" w:rsidRDefault="008E7500" w:rsidP="00CC0D3C">
      <w:pPr>
        <w:spacing w:line="240" w:lineRule="auto"/>
      </w:pPr>
      <w:r>
        <w:separator/>
      </w:r>
    </w:p>
  </w:footnote>
  <w:footnote w:type="continuationSeparator" w:id="0">
    <w:p w14:paraId="458DB0E9" w14:textId="77777777" w:rsidR="008E7500" w:rsidRDefault="008E7500" w:rsidP="00CC0D3C">
      <w:pPr>
        <w:spacing w:line="240" w:lineRule="auto"/>
      </w:pPr>
      <w:r>
        <w:continuationSeparator/>
      </w:r>
    </w:p>
  </w:footnote>
  <w:footnote w:id="1">
    <w:p w14:paraId="302A781E" w14:textId="77777777" w:rsidR="00ED6932" w:rsidRPr="007B133D" w:rsidRDefault="00ED6932" w:rsidP="00DF705A">
      <w:pPr>
        <w:pStyle w:val="Textodenotaderodap"/>
        <w:spacing w:line="240" w:lineRule="auto"/>
        <w:ind w:left="142" w:hanging="142"/>
      </w:pPr>
      <w:r w:rsidRPr="007B133D">
        <w:rPr>
          <w:rStyle w:val="Refdenotaderodap"/>
          <w:b w:val="0"/>
          <w:bCs/>
        </w:rPr>
        <w:footnoteRef/>
      </w:r>
      <w:r w:rsidRPr="007B133D">
        <w:t xml:space="preserve"> </w:t>
      </w:r>
      <w:r w:rsidRPr="007B133D">
        <w:rPr>
          <w:b w:val="0"/>
          <w:bCs/>
        </w:rPr>
        <w:t xml:space="preserve">PIRES, Alex Sander Xavier; TRINDADE, Carla </w:t>
      </w:r>
      <w:proofErr w:type="spellStart"/>
      <w:r w:rsidRPr="007B133D">
        <w:rPr>
          <w:b w:val="0"/>
          <w:bCs/>
        </w:rPr>
        <w:t>Dolezel</w:t>
      </w:r>
      <w:proofErr w:type="spellEnd"/>
      <w:r w:rsidRPr="007B133D">
        <w:rPr>
          <w:b w:val="0"/>
          <w:bCs/>
        </w:rPr>
        <w:t xml:space="preserve">; AZNAR FILHO, Simão – </w:t>
      </w:r>
      <w:r w:rsidRPr="007B133D">
        <w:t>Constitucionalismo Luso-Brasilero – leitura normativa no âmbito do domínio da lei e da humanização das relações.</w:t>
      </w:r>
      <w:r w:rsidRPr="007B133D">
        <w:rPr>
          <w:b w:val="0"/>
          <w:bCs/>
        </w:rPr>
        <w:t xml:space="preserve"> Rio de Janeiro, 2017, p. 14. ISBN 978-85-909488-4-1. </w:t>
      </w:r>
    </w:p>
  </w:footnote>
  <w:footnote w:id="2">
    <w:p w14:paraId="684EDF6D" w14:textId="2B3CE3FA" w:rsidR="00ED6932" w:rsidRPr="007B133D" w:rsidRDefault="00ED6932" w:rsidP="00157BA1">
      <w:pPr>
        <w:pStyle w:val="Ttulo1"/>
        <w:numPr>
          <w:ilvl w:val="0"/>
          <w:numId w:val="0"/>
        </w:numPr>
        <w:spacing w:line="240" w:lineRule="auto"/>
        <w:ind w:left="284" w:hanging="284"/>
        <w:rPr>
          <w:b w:val="0"/>
          <w:bCs w:val="0"/>
          <w:sz w:val="20"/>
          <w:szCs w:val="20"/>
        </w:rPr>
      </w:pPr>
      <w:r w:rsidRPr="007B133D">
        <w:rPr>
          <w:rStyle w:val="Refdenotaderodap"/>
          <w:b w:val="0"/>
          <w:bCs w:val="0"/>
          <w:sz w:val="20"/>
          <w:szCs w:val="20"/>
        </w:rPr>
        <w:footnoteRef/>
      </w:r>
      <w:r w:rsidRPr="007B133D">
        <w:rPr>
          <w:b w:val="0"/>
          <w:bCs w:val="0"/>
          <w:sz w:val="20"/>
          <w:szCs w:val="20"/>
        </w:rPr>
        <w:t xml:space="preserve"> </w:t>
      </w:r>
      <w:r>
        <w:rPr>
          <w:b w:val="0"/>
          <w:bCs w:val="0"/>
          <w:sz w:val="20"/>
          <w:szCs w:val="20"/>
        </w:rPr>
        <w:t xml:space="preserve">PEREZ </w:t>
      </w:r>
      <w:r w:rsidRPr="007B133D">
        <w:rPr>
          <w:b w:val="0"/>
          <w:bCs w:val="0"/>
          <w:sz w:val="20"/>
          <w:szCs w:val="20"/>
        </w:rPr>
        <w:t xml:space="preserve">LUNÕ, </w:t>
      </w:r>
      <w:proofErr w:type="spellStart"/>
      <w:r w:rsidRPr="007B133D">
        <w:rPr>
          <w:b w:val="0"/>
          <w:bCs w:val="0"/>
          <w:sz w:val="20"/>
          <w:szCs w:val="20"/>
        </w:rPr>
        <w:t>Antonio</w:t>
      </w:r>
      <w:proofErr w:type="spellEnd"/>
      <w:r w:rsidRPr="007B133D">
        <w:rPr>
          <w:b w:val="0"/>
          <w:bCs w:val="0"/>
          <w:sz w:val="20"/>
          <w:szCs w:val="20"/>
        </w:rPr>
        <w:t xml:space="preserve"> E</w:t>
      </w:r>
      <w:r>
        <w:rPr>
          <w:b w:val="0"/>
          <w:bCs w:val="0"/>
          <w:sz w:val="20"/>
          <w:szCs w:val="20"/>
        </w:rPr>
        <w:t>nrique</w:t>
      </w:r>
      <w:r w:rsidRPr="007B133D">
        <w:rPr>
          <w:b w:val="0"/>
          <w:bCs w:val="0"/>
          <w:sz w:val="20"/>
          <w:szCs w:val="20"/>
        </w:rPr>
        <w:t xml:space="preserve"> – </w:t>
      </w:r>
      <w:r w:rsidRPr="00CA6E42">
        <w:rPr>
          <w:i/>
          <w:iCs/>
          <w:sz w:val="20"/>
          <w:szCs w:val="20"/>
        </w:rPr>
        <w:t xml:space="preserve">Los </w:t>
      </w:r>
      <w:proofErr w:type="spellStart"/>
      <w:r w:rsidRPr="00CA6E42">
        <w:rPr>
          <w:i/>
          <w:iCs/>
          <w:sz w:val="20"/>
          <w:szCs w:val="20"/>
        </w:rPr>
        <w:t>derechos</w:t>
      </w:r>
      <w:proofErr w:type="spellEnd"/>
      <w:r w:rsidRPr="00CA6E42">
        <w:rPr>
          <w:i/>
          <w:iCs/>
          <w:sz w:val="20"/>
          <w:szCs w:val="20"/>
        </w:rPr>
        <w:t xml:space="preserve"> </w:t>
      </w:r>
      <w:proofErr w:type="spellStart"/>
      <w:r w:rsidRPr="00CA6E42">
        <w:rPr>
          <w:i/>
          <w:iCs/>
          <w:sz w:val="20"/>
          <w:szCs w:val="20"/>
        </w:rPr>
        <w:t>fundamentales</w:t>
      </w:r>
      <w:proofErr w:type="spellEnd"/>
      <w:r w:rsidRPr="007B133D">
        <w:rPr>
          <w:sz w:val="20"/>
          <w:szCs w:val="20"/>
        </w:rPr>
        <w:t>.</w:t>
      </w:r>
      <w:r w:rsidRPr="007B133D">
        <w:rPr>
          <w:b w:val="0"/>
          <w:bCs w:val="0"/>
          <w:sz w:val="20"/>
          <w:szCs w:val="20"/>
        </w:rPr>
        <w:t xml:space="preserve"> Madrid: Tecnos, 2007, p. 43.</w:t>
      </w:r>
    </w:p>
  </w:footnote>
  <w:footnote w:id="3">
    <w:p w14:paraId="34DE5235" w14:textId="77777777" w:rsidR="00ED6932" w:rsidRPr="007B133D" w:rsidRDefault="00ED6932" w:rsidP="00157BA1">
      <w:pPr>
        <w:pStyle w:val="Ttulo1"/>
        <w:numPr>
          <w:ilvl w:val="0"/>
          <w:numId w:val="0"/>
        </w:numPr>
        <w:spacing w:line="240" w:lineRule="auto"/>
        <w:ind w:left="284" w:hanging="284"/>
        <w:rPr>
          <w:b w:val="0"/>
          <w:bCs w:val="0"/>
          <w:sz w:val="20"/>
          <w:szCs w:val="20"/>
        </w:rPr>
      </w:pPr>
      <w:r w:rsidRPr="007B133D">
        <w:rPr>
          <w:rStyle w:val="Refdenotaderodap"/>
          <w:b w:val="0"/>
          <w:bCs w:val="0"/>
          <w:sz w:val="20"/>
          <w:szCs w:val="20"/>
        </w:rPr>
        <w:footnoteRef/>
      </w:r>
      <w:r w:rsidRPr="007B133D">
        <w:rPr>
          <w:b w:val="0"/>
          <w:bCs w:val="0"/>
          <w:sz w:val="20"/>
          <w:szCs w:val="20"/>
        </w:rPr>
        <w:t xml:space="preserve"> TORRES, Ricardo Lobo - </w:t>
      </w:r>
      <w:r w:rsidRPr="007B133D">
        <w:rPr>
          <w:sz w:val="20"/>
          <w:szCs w:val="20"/>
        </w:rPr>
        <w:t>Curso de Direito Financeiro e tributário.</w:t>
      </w:r>
      <w:r w:rsidRPr="007B133D">
        <w:rPr>
          <w:b w:val="0"/>
          <w:bCs w:val="0"/>
          <w:sz w:val="20"/>
          <w:szCs w:val="20"/>
        </w:rPr>
        <w:t xml:space="preserve"> 4ª edição. Rio de Janeiro: Renovar, 1997, p.70.</w:t>
      </w:r>
    </w:p>
  </w:footnote>
  <w:footnote w:id="4">
    <w:p w14:paraId="50048D86" w14:textId="77777777" w:rsidR="00ED6932" w:rsidRPr="007B133D" w:rsidRDefault="00ED6932" w:rsidP="00157BA1">
      <w:pPr>
        <w:pStyle w:val="Ttulo1"/>
        <w:numPr>
          <w:ilvl w:val="0"/>
          <w:numId w:val="0"/>
        </w:numPr>
        <w:spacing w:line="240" w:lineRule="auto"/>
        <w:ind w:left="284" w:hanging="284"/>
        <w:rPr>
          <w:b w:val="0"/>
          <w:bCs w:val="0"/>
          <w:sz w:val="20"/>
          <w:szCs w:val="20"/>
        </w:rPr>
      </w:pPr>
      <w:r w:rsidRPr="007B133D">
        <w:rPr>
          <w:rStyle w:val="Refdenotaderodap"/>
          <w:b w:val="0"/>
          <w:bCs w:val="0"/>
          <w:sz w:val="20"/>
          <w:szCs w:val="20"/>
        </w:rPr>
        <w:footnoteRef/>
      </w:r>
      <w:r w:rsidRPr="007B133D">
        <w:rPr>
          <w:b w:val="0"/>
          <w:bCs w:val="0"/>
          <w:sz w:val="20"/>
          <w:szCs w:val="20"/>
        </w:rPr>
        <w:t xml:space="preserve"> BOBBIO, Norberto – </w:t>
      </w:r>
      <w:r w:rsidRPr="007B133D">
        <w:rPr>
          <w:sz w:val="20"/>
          <w:szCs w:val="20"/>
        </w:rPr>
        <w:t>A era dos direitos.</w:t>
      </w:r>
      <w:r w:rsidRPr="007B133D">
        <w:rPr>
          <w:b w:val="0"/>
          <w:bCs w:val="0"/>
          <w:sz w:val="20"/>
          <w:szCs w:val="20"/>
        </w:rPr>
        <w:t xml:space="preserve"> Rio de Janeiro: Campus/</w:t>
      </w:r>
      <w:proofErr w:type="spellStart"/>
      <w:r w:rsidRPr="007B133D">
        <w:rPr>
          <w:b w:val="0"/>
          <w:bCs w:val="0"/>
          <w:sz w:val="20"/>
          <w:szCs w:val="20"/>
        </w:rPr>
        <w:t>Elseve</w:t>
      </w:r>
      <w:proofErr w:type="spellEnd"/>
      <w:r w:rsidRPr="007B133D">
        <w:rPr>
          <w:b w:val="0"/>
          <w:bCs w:val="0"/>
          <w:sz w:val="20"/>
          <w:szCs w:val="20"/>
        </w:rPr>
        <w:t xml:space="preserve">, 1992, p. 12-16. </w:t>
      </w:r>
    </w:p>
  </w:footnote>
  <w:footnote w:id="5">
    <w:p w14:paraId="59B63874" w14:textId="77777777" w:rsidR="00ED6932" w:rsidRPr="007B133D" w:rsidRDefault="00ED6932" w:rsidP="00157BA1">
      <w:pPr>
        <w:pStyle w:val="Ttulo1"/>
        <w:numPr>
          <w:ilvl w:val="0"/>
          <w:numId w:val="0"/>
        </w:numPr>
        <w:spacing w:line="240" w:lineRule="auto"/>
        <w:ind w:left="284" w:hanging="284"/>
        <w:rPr>
          <w:b w:val="0"/>
          <w:bCs w:val="0"/>
          <w:sz w:val="20"/>
          <w:szCs w:val="20"/>
        </w:rPr>
      </w:pPr>
      <w:r w:rsidRPr="007B133D">
        <w:rPr>
          <w:rStyle w:val="Refdenotaderodap"/>
          <w:b w:val="0"/>
          <w:bCs w:val="0"/>
          <w:sz w:val="20"/>
          <w:szCs w:val="20"/>
        </w:rPr>
        <w:footnoteRef/>
      </w:r>
      <w:r w:rsidRPr="007B133D">
        <w:rPr>
          <w:b w:val="0"/>
          <w:bCs w:val="0"/>
          <w:sz w:val="20"/>
          <w:szCs w:val="20"/>
        </w:rPr>
        <w:t xml:space="preserve"> HESSE, Konrad – </w:t>
      </w:r>
      <w:r w:rsidRPr="007B133D">
        <w:rPr>
          <w:sz w:val="20"/>
          <w:szCs w:val="20"/>
        </w:rPr>
        <w:t>Elementos de Direito Constitucional da República Federal da Alemanha.</w:t>
      </w:r>
      <w:r w:rsidRPr="007B133D">
        <w:rPr>
          <w:b w:val="0"/>
          <w:bCs w:val="0"/>
          <w:sz w:val="20"/>
          <w:szCs w:val="20"/>
        </w:rPr>
        <w:t xml:space="preserve"> 20ª edição. Porto Alegre: Fabris, 1998, p. 256.</w:t>
      </w:r>
    </w:p>
  </w:footnote>
  <w:footnote w:id="6">
    <w:p w14:paraId="3EA08DC3" w14:textId="77777777" w:rsidR="00ED6932" w:rsidRPr="007B133D" w:rsidRDefault="00ED6932" w:rsidP="00157BA1">
      <w:pPr>
        <w:pStyle w:val="Ttulo1"/>
        <w:numPr>
          <w:ilvl w:val="0"/>
          <w:numId w:val="0"/>
        </w:numPr>
        <w:spacing w:line="240" w:lineRule="auto"/>
        <w:ind w:left="284" w:hanging="284"/>
        <w:rPr>
          <w:sz w:val="20"/>
          <w:szCs w:val="20"/>
        </w:rPr>
      </w:pPr>
      <w:r w:rsidRPr="007B133D">
        <w:rPr>
          <w:rStyle w:val="Refdenotaderodap"/>
          <w:b w:val="0"/>
          <w:bCs w:val="0"/>
          <w:sz w:val="20"/>
          <w:szCs w:val="20"/>
        </w:rPr>
        <w:footnoteRef/>
      </w:r>
      <w:r w:rsidRPr="007B133D">
        <w:rPr>
          <w:b w:val="0"/>
          <w:bCs w:val="0"/>
          <w:sz w:val="20"/>
          <w:szCs w:val="20"/>
        </w:rPr>
        <w:t xml:space="preserve"> CAMPOS, Diogo Leite de – </w:t>
      </w:r>
      <w:r w:rsidRPr="007B133D">
        <w:rPr>
          <w:sz w:val="20"/>
          <w:szCs w:val="20"/>
        </w:rPr>
        <w:t>Lições de direito da família e das sucessões.</w:t>
      </w:r>
      <w:r w:rsidRPr="007B133D">
        <w:rPr>
          <w:b w:val="0"/>
          <w:bCs w:val="0"/>
          <w:sz w:val="20"/>
          <w:szCs w:val="20"/>
        </w:rPr>
        <w:t xml:space="preserve"> Coimbra: Almedina, 1990, p. 315.</w:t>
      </w:r>
    </w:p>
  </w:footnote>
  <w:footnote w:id="7">
    <w:p w14:paraId="306B4097" w14:textId="77777777" w:rsidR="00ED6932" w:rsidRPr="007B133D" w:rsidRDefault="00ED6932" w:rsidP="00157BA1">
      <w:pPr>
        <w:pStyle w:val="Ttulo1"/>
        <w:numPr>
          <w:ilvl w:val="0"/>
          <w:numId w:val="0"/>
        </w:numPr>
        <w:spacing w:line="240" w:lineRule="auto"/>
        <w:ind w:left="284" w:hanging="284"/>
        <w:rPr>
          <w:b w:val="0"/>
          <w:bCs w:val="0"/>
          <w:sz w:val="20"/>
          <w:szCs w:val="20"/>
        </w:rPr>
      </w:pPr>
      <w:r w:rsidRPr="007B133D">
        <w:rPr>
          <w:rStyle w:val="Refdenotaderodap"/>
          <w:b w:val="0"/>
          <w:bCs w:val="0"/>
          <w:sz w:val="20"/>
          <w:szCs w:val="20"/>
        </w:rPr>
        <w:footnoteRef/>
      </w:r>
      <w:r w:rsidRPr="007B133D">
        <w:rPr>
          <w:b w:val="0"/>
          <w:bCs w:val="0"/>
          <w:sz w:val="20"/>
          <w:szCs w:val="20"/>
        </w:rPr>
        <w:t xml:space="preserve"> KANT, Immanuel – </w:t>
      </w:r>
      <w:r w:rsidRPr="007B133D">
        <w:rPr>
          <w:sz w:val="20"/>
          <w:szCs w:val="20"/>
        </w:rPr>
        <w:t>Fundamentação da metafísica dos costumes e outros escritos.</w:t>
      </w:r>
      <w:r w:rsidRPr="007B133D">
        <w:rPr>
          <w:b w:val="0"/>
          <w:bCs w:val="0"/>
          <w:sz w:val="20"/>
          <w:szCs w:val="20"/>
        </w:rPr>
        <w:t xml:space="preserve"> São Paulo: Martin </w:t>
      </w:r>
      <w:proofErr w:type="spellStart"/>
      <w:r w:rsidRPr="007B133D">
        <w:rPr>
          <w:b w:val="0"/>
          <w:bCs w:val="0"/>
          <w:sz w:val="20"/>
          <w:szCs w:val="20"/>
        </w:rPr>
        <w:t>Claret</w:t>
      </w:r>
      <w:proofErr w:type="spellEnd"/>
      <w:r w:rsidRPr="007B133D">
        <w:rPr>
          <w:b w:val="0"/>
          <w:bCs w:val="0"/>
          <w:sz w:val="20"/>
          <w:szCs w:val="20"/>
        </w:rPr>
        <w:t xml:space="preserve">, 2002, p. 64.  </w:t>
      </w:r>
    </w:p>
  </w:footnote>
  <w:footnote w:id="8">
    <w:p w14:paraId="1D99B707" w14:textId="77777777" w:rsidR="00ED6932" w:rsidRPr="007B133D" w:rsidRDefault="00ED6932" w:rsidP="003A4CC0">
      <w:pPr>
        <w:pStyle w:val="Textodenotaderodap"/>
        <w:spacing w:line="240" w:lineRule="auto"/>
        <w:ind w:left="284" w:hanging="284"/>
        <w:rPr>
          <w:b w:val="0"/>
          <w:bCs/>
        </w:rPr>
      </w:pPr>
      <w:r w:rsidRPr="007B133D">
        <w:rPr>
          <w:rStyle w:val="Refdenotaderodap"/>
          <w:b w:val="0"/>
          <w:bCs/>
        </w:rPr>
        <w:footnoteRef/>
      </w:r>
      <w:r w:rsidRPr="007B133D">
        <w:rPr>
          <w:b w:val="0"/>
          <w:bCs/>
        </w:rPr>
        <w:t xml:space="preserve"> ASCENÇÃO, José de Oliveira – A dignidade da pessoa e o fundamento dos direitos humanos. </w:t>
      </w:r>
      <w:r w:rsidRPr="007B133D">
        <w:t>Revista da Ordem dos Advogados</w:t>
      </w:r>
      <w:r w:rsidRPr="007B133D">
        <w:rPr>
          <w:b w:val="0"/>
          <w:bCs/>
        </w:rPr>
        <w:t>, ano 68, Vol. I, 2008.</w:t>
      </w:r>
    </w:p>
  </w:footnote>
  <w:footnote w:id="9">
    <w:p w14:paraId="2D0F36AD" w14:textId="77777777" w:rsidR="00ED6932" w:rsidRPr="007B133D" w:rsidRDefault="00ED6932" w:rsidP="009B4F1F">
      <w:pPr>
        <w:pStyle w:val="Textodenotaderodap"/>
        <w:spacing w:line="240" w:lineRule="auto"/>
        <w:ind w:left="284" w:hanging="284"/>
        <w:rPr>
          <w:b w:val="0"/>
          <w:bCs/>
        </w:rPr>
      </w:pPr>
      <w:r w:rsidRPr="007B133D">
        <w:rPr>
          <w:rStyle w:val="Refdenotaderodap"/>
          <w:b w:val="0"/>
          <w:bCs/>
        </w:rPr>
        <w:footnoteRef/>
      </w:r>
      <w:r w:rsidRPr="007B133D">
        <w:rPr>
          <w:b w:val="0"/>
          <w:bCs/>
        </w:rPr>
        <w:t xml:space="preserve"> CANOTILHO, J. J. Gomes; MOREIRA, Vital – </w:t>
      </w:r>
      <w:r w:rsidRPr="007B133D">
        <w:t>Constituição da República Portuguesa Anotada.</w:t>
      </w:r>
      <w:r w:rsidRPr="007B133D">
        <w:rPr>
          <w:b w:val="0"/>
          <w:bCs/>
        </w:rPr>
        <w:t xml:space="preserve"> Vol. 1 (artigos 1</w:t>
      </w:r>
      <w:r w:rsidRPr="007B133D">
        <w:rPr>
          <w:rFonts w:cs="Times New Roman"/>
          <w:b w:val="0"/>
          <w:bCs/>
        </w:rPr>
        <w:t>°</w:t>
      </w:r>
      <w:r w:rsidRPr="007B133D">
        <w:rPr>
          <w:b w:val="0"/>
          <w:bCs/>
        </w:rPr>
        <w:t xml:space="preserve"> a 107</w:t>
      </w:r>
      <w:r w:rsidRPr="007B133D">
        <w:rPr>
          <w:rFonts w:cs="Times New Roman"/>
          <w:b w:val="0"/>
          <w:bCs/>
        </w:rPr>
        <w:t>°</w:t>
      </w:r>
      <w:r w:rsidRPr="007B133D">
        <w:rPr>
          <w:b w:val="0"/>
          <w:bCs/>
        </w:rPr>
        <w:t>). Coimbra: Coimbra Editora, 2007, p. 198.</w:t>
      </w:r>
    </w:p>
  </w:footnote>
  <w:footnote w:id="10">
    <w:p w14:paraId="3BB147FD" w14:textId="77777777" w:rsidR="00ED6932" w:rsidRPr="007B133D" w:rsidRDefault="00ED6932" w:rsidP="00F523DF">
      <w:pPr>
        <w:pStyle w:val="Ttulo1"/>
        <w:numPr>
          <w:ilvl w:val="0"/>
          <w:numId w:val="0"/>
        </w:numPr>
        <w:spacing w:line="240" w:lineRule="auto"/>
        <w:ind w:left="284" w:hanging="284"/>
        <w:rPr>
          <w:sz w:val="20"/>
          <w:szCs w:val="20"/>
        </w:rPr>
      </w:pPr>
      <w:r w:rsidRPr="007B133D">
        <w:rPr>
          <w:rStyle w:val="Refdenotaderodap"/>
          <w:b w:val="0"/>
          <w:bCs w:val="0"/>
          <w:sz w:val="20"/>
          <w:szCs w:val="20"/>
        </w:rPr>
        <w:footnoteRef/>
      </w:r>
      <w:r w:rsidRPr="007B133D">
        <w:rPr>
          <w:b w:val="0"/>
          <w:bCs w:val="0"/>
          <w:sz w:val="20"/>
          <w:szCs w:val="20"/>
        </w:rPr>
        <w:t xml:space="preserve"> Decreto nº 19.841/1945. </w:t>
      </w:r>
      <w:r w:rsidRPr="007B133D">
        <w:rPr>
          <w:sz w:val="20"/>
          <w:szCs w:val="20"/>
        </w:rPr>
        <w:t>Planalto.</w:t>
      </w:r>
      <w:r w:rsidRPr="007B133D">
        <w:rPr>
          <w:b w:val="0"/>
          <w:bCs w:val="0"/>
          <w:sz w:val="20"/>
          <w:szCs w:val="20"/>
        </w:rPr>
        <w:t xml:space="preserve"> [Em linha]. Disponível em </w:t>
      </w:r>
      <w:hyperlink r:id="rId1" w:history="1">
        <w:r w:rsidRPr="007B133D">
          <w:rPr>
            <w:rStyle w:val="Hyperlink"/>
            <w:rFonts w:eastAsiaTheme="majorEastAsia"/>
            <w:b w:val="0"/>
            <w:bCs w:val="0"/>
            <w:color w:val="auto"/>
            <w:sz w:val="20"/>
            <w:szCs w:val="20"/>
          </w:rPr>
          <w:t>http://www.planalto.gov.br/ccivil_03/decreto/1930-1949/D19841.htm</w:t>
        </w:r>
      </w:hyperlink>
    </w:p>
  </w:footnote>
  <w:footnote w:id="11">
    <w:p w14:paraId="1B239725" w14:textId="77777777" w:rsidR="00ED6932" w:rsidRPr="007B133D" w:rsidRDefault="00ED6932" w:rsidP="00157BA1">
      <w:pPr>
        <w:pStyle w:val="Ttulo1"/>
        <w:numPr>
          <w:ilvl w:val="0"/>
          <w:numId w:val="0"/>
        </w:numPr>
        <w:spacing w:line="240" w:lineRule="auto"/>
        <w:ind w:left="284" w:hanging="284"/>
        <w:rPr>
          <w:b w:val="0"/>
          <w:bCs w:val="0"/>
          <w:sz w:val="20"/>
          <w:szCs w:val="20"/>
        </w:rPr>
      </w:pPr>
      <w:r w:rsidRPr="007B133D">
        <w:rPr>
          <w:rStyle w:val="Refdenotaderodap"/>
          <w:b w:val="0"/>
          <w:bCs w:val="0"/>
          <w:sz w:val="20"/>
          <w:szCs w:val="20"/>
        </w:rPr>
        <w:footnoteRef/>
      </w:r>
      <w:r w:rsidRPr="007B133D">
        <w:rPr>
          <w:b w:val="0"/>
          <w:bCs w:val="0"/>
          <w:sz w:val="20"/>
          <w:szCs w:val="20"/>
        </w:rPr>
        <w:t xml:space="preserve"> Declaração Universal dos Direitos Humanos. </w:t>
      </w:r>
      <w:r w:rsidRPr="007B133D">
        <w:rPr>
          <w:sz w:val="20"/>
          <w:szCs w:val="20"/>
        </w:rPr>
        <w:t>Organização das Nações Unidas</w:t>
      </w:r>
      <w:r w:rsidRPr="007B133D">
        <w:rPr>
          <w:b w:val="0"/>
          <w:bCs w:val="0"/>
          <w:sz w:val="20"/>
          <w:szCs w:val="20"/>
        </w:rPr>
        <w:t xml:space="preserve">. [Em linha]. Disponível em </w:t>
      </w:r>
      <w:hyperlink r:id="rId2" w:history="1">
        <w:r w:rsidRPr="007B133D">
          <w:rPr>
            <w:rStyle w:val="Hyperlink"/>
            <w:rFonts w:eastAsiaTheme="majorEastAsia"/>
            <w:b w:val="0"/>
            <w:bCs w:val="0"/>
            <w:color w:val="auto"/>
            <w:sz w:val="20"/>
            <w:szCs w:val="20"/>
          </w:rPr>
          <w:t>https://www.ohchr.org/EN/UDHR/Pages/Language.aspx?LangID=por</w:t>
        </w:r>
      </w:hyperlink>
      <w:r w:rsidRPr="007B133D">
        <w:rPr>
          <w:b w:val="0"/>
          <w:bCs w:val="0"/>
          <w:sz w:val="20"/>
          <w:szCs w:val="20"/>
        </w:rPr>
        <w:t xml:space="preserve">. </w:t>
      </w:r>
    </w:p>
  </w:footnote>
  <w:footnote w:id="12">
    <w:p w14:paraId="3F6A1EF0" w14:textId="77777777" w:rsidR="00ED6932" w:rsidRPr="007B133D" w:rsidRDefault="00ED6932" w:rsidP="00157BA1">
      <w:pPr>
        <w:pStyle w:val="Ttulo1"/>
        <w:numPr>
          <w:ilvl w:val="0"/>
          <w:numId w:val="0"/>
        </w:numPr>
        <w:spacing w:line="240" w:lineRule="auto"/>
        <w:ind w:left="284" w:hanging="284"/>
        <w:rPr>
          <w:b w:val="0"/>
          <w:bCs w:val="0"/>
          <w:sz w:val="20"/>
          <w:szCs w:val="20"/>
        </w:rPr>
      </w:pPr>
      <w:r w:rsidRPr="007B133D">
        <w:rPr>
          <w:rStyle w:val="Refdenotaderodap"/>
          <w:b w:val="0"/>
          <w:bCs w:val="0"/>
          <w:sz w:val="20"/>
          <w:szCs w:val="20"/>
        </w:rPr>
        <w:footnoteRef/>
      </w:r>
      <w:r w:rsidRPr="007B133D">
        <w:rPr>
          <w:b w:val="0"/>
          <w:bCs w:val="0"/>
          <w:sz w:val="20"/>
          <w:szCs w:val="20"/>
        </w:rPr>
        <w:t xml:space="preserve"> SUPREMO Tribunal Federal - Ação Direta de Inconstitucionalidade nº 1.856/RJ, Pleno, de 26 de maio de 2011. Relator Ministro Celso de Mello.</w:t>
      </w:r>
    </w:p>
  </w:footnote>
  <w:footnote w:id="13">
    <w:p w14:paraId="6531B560" w14:textId="77777777" w:rsidR="00ED6932" w:rsidRPr="007B133D" w:rsidRDefault="00ED6932" w:rsidP="00157BA1">
      <w:pPr>
        <w:pStyle w:val="Ttulo1"/>
        <w:numPr>
          <w:ilvl w:val="0"/>
          <w:numId w:val="0"/>
        </w:numPr>
        <w:spacing w:line="240" w:lineRule="auto"/>
        <w:ind w:left="284" w:hanging="284"/>
        <w:rPr>
          <w:b w:val="0"/>
          <w:bCs w:val="0"/>
          <w:sz w:val="20"/>
          <w:szCs w:val="20"/>
        </w:rPr>
      </w:pPr>
      <w:r w:rsidRPr="007B133D">
        <w:rPr>
          <w:rStyle w:val="Refdenotaderodap"/>
          <w:b w:val="0"/>
          <w:bCs w:val="0"/>
          <w:sz w:val="20"/>
          <w:szCs w:val="20"/>
        </w:rPr>
        <w:footnoteRef/>
      </w:r>
      <w:r w:rsidRPr="007B133D">
        <w:rPr>
          <w:b w:val="0"/>
          <w:bCs w:val="0"/>
          <w:sz w:val="20"/>
          <w:szCs w:val="20"/>
        </w:rPr>
        <w:t xml:space="preserve"> BARROSO, </w:t>
      </w:r>
      <w:proofErr w:type="spellStart"/>
      <w:r w:rsidRPr="007B133D">
        <w:rPr>
          <w:b w:val="0"/>
          <w:bCs w:val="0"/>
          <w:sz w:val="20"/>
          <w:szCs w:val="20"/>
        </w:rPr>
        <w:t>Luis</w:t>
      </w:r>
      <w:proofErr w:type="spellEnd"/>
      <w:r w:rsidRPr="007B133D">
        <w:rPr>
          <w:b w:val="0"/>
          <w:bCs w:val="0"/>
          <w:sz w:val="20"/>
          <w:szCs w:val="20"/>
        </w:rPr>
        <w:t xml:space="preserve"> Roberto – </w:t>
      </w:r>
      <w:r w:rsidRPr="007B133D">
        <w:rPr>
          <w:sz w:val="20"/>
          <w:szCs w:val="20"/>
        </w:rPr>
        <w:t>A dignidade da pessoa humana ao direito constitucional contemporâneo: a construção de um conceito jurídico à luz da jurisprudência mundial.</w:t>
      </w:r>
      <w:r w:rsidRPr="007B133D">
        <w:rPr>
          <w:b w:val="0"/>
          <w:bCs w:val="0"/>
          <w:sz w:val="20"/>
          <w:szCs w:val="20"/>
        </w:rPr>
        <w:t xml:space="preserve"> Belo Horizonte: Fórum, 2014, p.118.</w:t>
      </w:r>
    </w:p>
  </w:footnote>
  <w:footnote w:id="14">
    <w:p w14:paraId="3F081C0F" w14:textId="7823B21B" w:rsidR="00ED6932" w:rsidRPr="007B133D" w:rsidRDefault="00ED6932" w:rsidP="00157BA1">
      <w:pPr>
        <w:pStyle w:val="Ttulo1"/>
        <w:numPr>
          <w:ilvl w:val="0"/>
          <w:numId w:val="0"/>
        </w:numPr>
        <w:spacing w:line="240" w:lineRule="auto"/>
        <w:ind w:left="284" w:hanging="284"/>
        <w:rPr>
          <w:sz w:val="20"/>
          <w:szCs w:val="20"/>
        </w:rPr>
      </w:pPr>
      <w:r w:rsidRPr="007B133D">
        <w:rPr>
          <w:rStyle w:val="Refdenotaderodap"/>
          <w:b w:val="0"/>
          <w:bCs w:val="0"/>
          <w:sz w:val="20"/>
          <w:szCs w:val="20"/>
        </w:rPr>
        <w:footnoteRef/>
      </w:r>
      <w:r w:rsidRPr="007B133D">
        <w:rPr>
          <w:b w:val="0"/>
          <w:bCs w:val="0"/>
          <w:sz w:val="20"/>
          <w:szCs w:val="20"/>
        </w:rPr>
        <w:t xml:space="preserve"> </w:t>
      </w:r>
      <w:r w:rsidRPr="00574292">
        <w:rPr>
          <w:b w:val="0"/>
          <w:bCs w:val="0"/>
          <w:i/>
          <w:iCs/>
          <w:sz w:val="20"/>
          <w:szCs w:val="20"/>
        </w:rPr>
        <w:t xml:space="preserve">Idem – </w:t>
      </w:r>
      <w:r w:rsidRPr="00574292">
        <w:rPr>
          <w:i/>
          <w:iCs/>
          <w:sz w:val="20"/>
          <w:szCs w:val="20"/>
        </w:rPr>
        <w:t>Ibidem</w:t>
      </w:r>
      <w:r w:rsidRPr="007B133D">
        <w:rPr>
          <w:b w:val="0"/>
          <w:bCs w:val="0"/>
          <w:sz w:val="20"/>
          <w:szCs w:val="20"/>
        </w:rPr>
        <w:t>.</w:t>
      </w:r>
    </w:p>
  </w:footnote>
  <w:footnote w:id="15">
    <w:p w14:paraId="352952C7" w14:textId="77777777" w:rsidR="00ED6932" w:rsidRPr="007B133D" w:rsidRDefault="00ED6932" w:rsidP="00157BA1">
      <w:pPr>
        <w:pStyle w:val="Ttulo1"/>
        <w:numPr>
          <w:ilvl w:val="0"/>
          <w:numId w:val="0"/>
        </w:numPr>
        <w:spacing w:line="240" w:lineRule="auto"/>
        <w:ind w:left="284" w:hanging="284"/>
        <w:rPr>
          <w:b w:val="0"/>
          <w:bCs w:val="0"/>
          <w:sz w:val="20"/>
          <w:szCs w:val="20"/>
        </w:rPr>
      </w:pPr>
      <w:r w:rsidRPr="007B133D">
        <w:rPr>
          <w:rStyle w:val="Refdenotaderodap"/>
          <w:b w:val="0"/>
          <w:bCs w:val="0"/>
          <w:sz w:val="20"/>
          <w:szCs w:val="20"/>
          <w:vertAlign w:val="baseline"/>
        </w:rPr>
        <w:footnoteRef/>
      </w:r>
      <w:r w:rsidRPr="007B133D">
        <w:rPr>
          <w:b w:val="0"/>
          <w:bCs w:val="0"/>
          <w:sz w:val="20"/>
          <w:szCs w:val="20"/>
        </w:rPr>
        <w:t xml:space="preserve"> BALEEIRO, </w:t>
      </w:r>
      <w:proofErr w:type="spellStart"/>
      <w:r w:rsidRPr="007B133D">
        <w:rPr>
          <w:b w:val="0"/>
          <w:bCs w:val="0"/>
          <w:sz w:val="20"/>
          <w:szCs w:val="20"/>
        </w:rPr>
        <w:t>Aliomar</w:t>
      </w:r>
      <w:proofErr w:type="spellEnd"/>
      <w:r w:rsidRPr="007B133D">
        <w:rPr>
          <w:b w:val="0"/>
          <w:bCs w:val="0"/>
          <w:sz w:val="20"/>
          <w:szCs w:val="20"/>
        </w:rPr>
        <w:t xml:space="preserve"> – </w:t>
      </w:r>
      <w:r w:rsidRPr="007B133D">
        <w:rPr>
          <w:sz w:val="20"/>
          <w:szCs w:val="20"/>
        </w:rPr>
        <w:t>Direito Tributário brasileiro.</w:t>
      </w:r>
      <w:r w:rsidRPr="007B133D">
        <w:rPr>
          <w:b w:val="0"/>
          <w:bCs w:val="0"/>
          <w:sz w:val="20"/>
          <w:szCs w:val="20"/>
        </w:rPr>
        <w:t xml:space="preserve"> 12ª edição. Rio de Janeiro: Forense, 2013, p. 762.</w:t>
      </w:r>
    </w:p>
  </w:footnote>
  <w:footnote w:id="16">
    <w:p w14:paraId="0D596248" w14:textId="77777777" w:rsidR="00ED6932" w:rsidRPr="007B133D" w:rsidRDefault="00ED6932" w:rsidP="00157BA1">
      <w:pPr>
        <w:pStyle w:val="Ttulo1"/>
        <w:numPr>
          <w:ilvl w:val="0"/>
          <w:numId w:val="0"/>
        </w:numPr>
        <w:spacing w:line="240" w:lineRule="auto"/>
        <w:ind w:left="284" w:hanging="284"/>
        <w:rPr>
          <w:b w:val="0"/>
          <w:bCs w:val="0"/>
          <w:sz w:val="20"/>
          <w:szCs w:val="20"/>
        </w:rPr>
      </w:pPr>
      <w:r w:rsidRPr="007B133D">
        <w:rPr>
          <w:rStyle w:val="Refdenotaderodap"/>
          <w:b w:val="0"/>
          <w:bCs w:val="0"/>
          <w:sz w:val="20"/>
          <w:szCs w:val="20"/>
          <w:vertAlign w:val="baseline"/>
        </w:rPr>
        <w:footnoteRef/>
      </w:r>
      <w:r w:rsidRPr="007B133D">
        <w:rPr>
          <w:b w:val="0"/>
          <w:bCs w:val="0"/>
          <w:sz w:val="20"/>
          <w:szCs w:val="20"/>
        </w:rPr>
        <w:t xml:space="preserve"> </w:t>
      </w:r>
      <w:bookmarkStart w:id="20" w:name="_Hlk8665461"/>
      <w:r w:rsidRPr="007B133D">
        <w:rPr>
          <w:b w:val="0"/>
          <w:bCs w:val="0"/>
          <w:sz w:val="20"/>
          <w:szCs w:val="20"/>
        </w:rPr>
        <w:t xml:space="preserve">TEPEDINO, Gustavo – A disciplina civil-constitucional das relações familiares. In </w:t>
      </w:r>
      <w:r w:rsidRPr="007B133D">
        <w:rPr>
          <w:sz w:val="20"/>
          <w:szCs w:val="20"/>
        </w:rPr>
        <w:t>Temas de direito civil.</w:t>
      </w:r>
      <w:r w:rsidRPr="007B133D">
        <w:rPr>
          <w:b w:val="0"/>
          <w:bCs w:val="0"/>
          <w:sz w:val="20"/>
          <w:szCs w:val="20"/>
        </w:rPr>
        <w:t xml:space="preserve"> 3ª edição. Rio de Janeiro: Editora Renovar, 2004</w:t>
      </w:r>
      <w:bookmarkEnd w:id="20"/>
      <w:r w:rsidRPr="007B133D">
        <w:rPr>
          <w:b w:val="0"/>
          <w:bCs w:val="0"/>
          <w:sz w:val="20"/>
          <w:szCs w:val="20"/>
        </w:rPr>
        <w:t>, p. 397-398.</w:t>
      </w:r>
    </w:p>
  </w:footnote>
  <w:footnote w:id="17">
    <w:p w14:paraId="391C0A4C" w14:textId="77777777" w:rsidR="00ED6932" w:rsidRPr="007B133D" w:rsidRDefault="00ED6932" w:rsidP="00157BA1">
      <w:pPr>
        <w:pStyle w:val="Ttulo1"/>
        <w:numPr>
          <w:ilvl w:val="0"/>
          <w:numId w:val="0"/>
        </w:numPr>
        <w:spacing w:line="240" w:lineRule="auto"/>
        <w:ind w:left="284" w:hanging="284"/>
        <w:rPr>
          <w:b w:val="0"/>
          <w:bCs w:val="0"/>
          <w:sz w:val="20"/>
          <w:szCs w:val="20"/>
        </w:rPr>
      </w:pPr>
      <w:r w:rsidRPr="007B133D">
        <w:rPr>
          <w:rStyle w:val="Refdenotaderodap"/>
          <w:b w:val="0"/>
          <w:bCs w:val="0"/>
          <w:sz w:val="20"/>
          <w:szCs w:val="20"/>
        </w:rPr>
        <w:footnoteRef/>
      </w:r>
      <w:r w:rsidRPr="007B133D">
        <w:rPr>
          <w:b w:val="0"/>
          <w:bCs w:val="0"/>
          <w:sz w:val="20"/>
          <w:szCs w:val="20"/>
        </w:rPr>
        <w:t xml:space="preserve"> TRIBUNAL de Justiça do Rio Grande do Sul - Apelação Cível nº 70062325121/RS, 8ª Câmara Cível, de 21 de maio de 2015. Relator Ministro </w:t>
      </w:r>
      <w:proofErr w:type="spellStart"/>
      <w:r w:rsidRPr="007B133D">
        <w:rPr>
          <w:b w:val="0"/>
          <w:bCs w:val="0"/>
          <w:sz w:val="20"/>
          <w:szCs w:val="20"/>
        </w:rPr>
        <w:t>Alzir</w:t>
      </w:r>
      <w:proofErr w:type="spellEnd"/>
      <w:r w:rsidRPr="007B133D">
        <w:rPr>
          <w:b w:val="0"/>
          <w:bCs w:val="0"/>
          <w:sz w:val="20"/>
          <w:szCs w:val="20"/>
        </w:rPr>
        <w:t xml:space="preserve"> </w:t>
      </w:r>
      <w:proofErr w:type="spellStart"/>
      <w:r w:rsidRPr="007B133D">
        <w:rPr>
          <w:b w:val="0"/>
          <w:bCs w:val="0"/>
          <w:sz w:val="20"/>
          <w:szCs w:val="20"/>
        </w:rPr>
        <w:t>Felippe</w:t>
      </w:r>
      <w:proofErr w:type="spellEnd"/>
      <w:r w:rsidRPr="007B133D">
        <w:rPr>
          <w:b w:val="0"/>
          <w:bCs w:val="0"/>
          <w:sz w:val="20"/>
          <w:szCs w:val="20"/>
        </w:rPr>
        <w:t xml:space="preserve"> Schmitz.</w:t>
      </w:r>
    </w:p>
  </w:footnote>
  <w:footnote w:id="18">
    <w:p w14:paraId="03C3CA8C" w14:textId="77777777" w:rsidR="00ED6932" w:rsidRPr="007B133D" w:rsidRDefault="00ED6932" w:rsidP="00157BA1">
      <w:pPr>
        <w:pStyle w:val="Ttulo1"/>
        <w:numPr>
          <w:ilvl w:val="0"/>
          <w:numId w:val="0"/>
        </w:numPr>
        <w:spacing w:line="240" w:lineRule="auto"/>
        <w:ind w:left="284" w:hanging="284"/>
        <w:rPr>
          <w:b w:val="0"/>
          <w:bCs w:val="0"/>
          <w:sz w:val="20"/>
          <w:szCs w:val="20"/>
        </w:rPr>
      </w:pPr>
      <w:r w:rsidRPr="007B133D">
        <w:rPr>
          <w:rStyle w:val="Refdenotaderodap"/>
          <w:b w:val="0"/>
          <w:bCs w:val="0"/>
          <w:sz w:val="20"/>
          <w:szCs w:val="20"/>
        </w:rPr>
        <w:footnoteRef/>
      </w:r>
      <w:r w:rsidRPr="007B133D">
        <w:rPr>
          <w:b w:val="0"/>
          <w:bCs w:val="0"/>
          <w:sz w:val="20"/>
          <w:szCs w:val="20"/>
        </w:rPr>
        <w:t xml:space="preserve"> DIAS, Maria Berenice – </w:t>
      </w:r>
      <w:r w:rsidRPr="007B133D">
        <w:rPr>
          <w:sz w:val="20"/>
          <w:szCs w:val="20"/>
        </w:rPr>
        <w:t>Manual de direitos das famílias.</w:t>
      </w:r>
      <w:r w:rsidRPr="007B133D">
        <w:rPr>
          <w:b w:val="0"/>
          <w:bCs w:val="0"/>
          <w:sz w:val="20"/>
          <w:szCs w:val="20"/>
        </w:rPr>
        <w:t xml:space="preserve"> São Paulo: Revista dos Tribunais, 2011, p. 67.</w:t>
      </w:r>
    </w:p>
  </w:footnote>
  <w:footnote w:id="19">
    <w:p w14:paraId="093E1489" w14:textId="77777777" w:rsidR="00ED6932" w:rsidRPr="007B133D" w:rsidRDefault="00ED6932" w:rsidP="00157BA1">
      <w:pPr>
        <w:pStyle w:val="Ttulo1"/>
        <w:numPr>
          <w:ilvl w:val="0"/>
          <w:numId w:val="0"/>
        </w:numPr>
        <w:spacing w:line="240" w:lineRule="auto"/>
        <w:ind w:left="284" w:hanging="284"/>
        <w:rPr>
          <w:b w:val="0"/>
          <w:bCs w:val="0"/>
          <w:sz w:val="20"/>
          <w:szCs w:val="20"/>
        </w:rPr>
      </w:pPr>
      <w:r w:rsidRPr="007B133D">
        <w:rPr>
          <w:rStyle w:val="Refdenotaderodap"/>
          <w:b w:val="0"/>
          <w:bCs w:val="0"/>
          <w:sz w:val="20"/>
          <w:szCs w:val="20"/>
        </w:rPr>
        <w:footnoteRef/>
      </w:r>
      <w:r w:rsidRPr="007B133D">
        <w:rPr>
          <w:b w:val="0"/>
          <w:bCs w:val="0"/>
          <w:sz w:val="20"/>
          <w:szCs w:val="20"/>
        </w:rPr>
        <w:t xml:space="preserve"> FERRARI, Regina Maria Macedo Nery – </w:t>
      </w:r>
      <w:r w:rsidRPr="007B133D">
        <w:rPr>
          <w:sz w:val="20"/>
          <w:szCs w:val="20"/>
        </w:rPr>
        <w:t>Direito Constitucional.</w:t>
      </w:r>
      <w:r w:rsidRPr="007B133D">
        <w:rPr>
          <w:b w:val="0"/>
          <w:bCs w:val="0"/>
          <w:sz w:val="20"/>
          <w:szCs w:val="20"/>
        </w:rPr>
        <w:t xml:space="preserve"> São Paulo: Editora Revista dos Tribunais, 2011, p. 573. </w:t>
      </w:r>
    </w:p>
  </w:footnote>
  <w:footnote w:id="20">
    <w:p w14:paraId="2DA67DAC" w14:textId="77777777" w:rsidR="00ED6932" w:rsidRPr="007B133D" w:rsidRDefault="00ED6932" w:rsidP="00970540">
      <w:pPr>
        <w:pStyle w:val="Textodenotaderodap"/>
        <w:ind w:firstLine="0"/>
        <w:rPr>
          <w:b w:val="0"/>
          <w:bCs/>
        </w:rPr>
      </w:pPr>
      <w:r w:rsidRPr="007B133D">
        <w:rPr>
          <w:rStyle w:val="Refdenotaderodap"/>
          <w:b w:val="0"/>
          <w:bCs/>
        </w:rPr>
        <w:footnoteRef/>
      </w:r>
      <w:r w:rsidRPr="007B133D">
        <w:rPr>
          <w:b w:val="0"/>
          <w:bCs/>
        </w:rPr>
        <w:t xml:space="preserve"> PIMENTA, Jose da Costa – </w:t>
      </w:r>
      <w:r w:rsidRPr="007B133D">
        <w:t>Filiação</w:t>
      </w:r>
      <w:r w:rsidRPr="007B133D">
        <w:rPr>
          <w:b w:val="0"/>
          <w:bCs/>
        </w:rPr>
        <w:t xml:space="preserve">. Lisboa: </w:t>
      </w:r>
      <w:proofErr w:type="spellStart"/>
      <w:r w:rsidRPr="007B133D">
        <w:rPr>
          <w:b w:val="0"/>
          <w:bCs/>
        </w:rPr>
        <w:t>Petrony</w:t>
      </w:r>
      <w:proofErr w:type="spellEnd"/>
      <w:r w:rsidRPr="007B133D">
        <w:rPr>
          <w:b w:val="0"/>
          <w:bCs/>
        </w:rPr>
        <w:t>, 2001, p. 17.</w:t>
      </w:r>
    </w:p>
  </w:footnote>
  <w:footnote w:id="21">
    <w:p w14:paraId="67300846" w14:textId="77777777" w:rsidR="00ED6932" w:rsidRPr="007B133D" w:rsidRDefault="00ED6932" w:rsidP="00157BA1">
      <w:pPr>
        <w:pStyle w:val="Ttulo1"/>
        <w:numPr>
          <w:ilvl w:val="0"/>
          <w:numId w:val="0"/>
        </w:numPr>
        <w:spacing w:line="240" w:lineRule="auto"/>
        <w:ind w:left="284" w:hanging="284"/>
        <w:rPr>
          <w:b w:val="0"/>
          <w:bCs w:val="0"/>
          <w:sz w:val="20"/>
          <w:szCs w:val="20"/>
        </w:rPr>
      </w:pPr>
      <w:r w:rsidRPr="007B133D">
        <w:rPr>
          <w:rStyle w:val="Refdenotaderodap"/>
          <w:b w:val="0"/>
          <w:bCs w:val="0"/>
          <w:sz w:val="20"/>
          <w:szCs w:val="20"/>
        </w:rPr>
        <w:footnoteRef/>
      </w:r>
      <w:r w:rsidRPr="007B133D">
        <w:rPr>
          <w:b w:val="0"/>
          <w:bCs w:val="0"/>
          <w:sz w:val="20"/>
          <w:szCs w:val="20"/>
        </w:rPr>
        <w:t xml:space="preserve"> MELLO, Celso </w:t>
      </w:r>
      <w:proofErr w:type="spellStart"/>
      <w:r w:rsidRPr="007B133D">
        <w:rPr>
          <w:b w:val="0"/>
          <w:bCs w:val="0"/>
          <w:sz w:val="20"/>
          <w:szCs w:val="20"/>
        </w:rPr>
        <w:t>Antonio</w:t>
      </w:r>
      <w:proofErr w:type="spellEnd"/>
      <w:r w:rsidRPr="007B133D">
        <w:rPr>
          <w:b w:val="0"/>
          <w:bCs w:val="0"/>
          <w:sz w:val="20"/>
          <w:szCs w:val="20"/>
        </w:rPr>
        <w:t xml:space="preserve"> Bandeira de - </w:t>
      </w:r>
      <w:r w:rsidRPr="007B133D">
        <w:rPr>
          <w:sz w:val="20"/>
          <w:szCs w:val="20"/>
        </w:rPr>
        <w:t>O conteúdo jurídico do princípio da igualdade.</w:t>
      </w:r>
      <w:r w:rsidRPr="007B133D">
        <w:rPr>
          <w:b w:val="0"/>
          <w:bCs w:val="0"/>
          <w:sz w:val="20"/>
          <w:szCs w:val="20"/>
        </w:rPr>
        <w:t xml:space="preserve"> São Paulo: Malheiros, 1993, p.18. </w:t>
      </w:r>
    </w:p>
  </w:footnote>
  <w:footnote w:id="22">
    <w:p w14:paraId="38BA48A3" w14:textId="77777777" w:rsidR="00ED6932" w:rsidRPr="007B133D" w:rsidRDefault="00ED6932" w:rsidP="00157BA1">
      <w:pPr>
        <w:pStyle w:val="Ttulo1"/>
        <w:numPr>
          <w:ilvl w:val="0"/>
          <w:numId w:val="0"/>
        </w:numPr>
        <w:tabs>
          <w:tab w:val="left" w:pos="3544"/>
        </w:tabs>
        <w:spacing w:line="240" w:lineRule="auto"/>
        <w:ind w:left="284" w:hanging="284"/>
        <w:rPr>
          <w:b w:val="0"/>
          <w:bCs w:val="0"/>
          <w:sz w:val="20"/>
          <w:szCs w:val="20"/>
        </w:rPr>
      </w:pPr>
      <w:r w:rsidRPr="007B133D">
        <w:rPr>
          <w:rStyle w:val="Refdenotaderodap"/>
          <w:b w:val="0"/>
          <w:bCs w:val="0"/>
          <w:sz w:val="20"/>
          <w:szCs w:val="20"/>
        </w:rPr>
        <w:footnoteRef/>
      </w:r>
      <w:r w:rsidRPr="007B133D">
        <w:rPr>
          <w:b w:val="0"/>
          <w:bCs w:val="0"/>
          <w:sz w:val="20"/>
          <w:szCs w:val="20"/>
        </w:rPr>
        <w:t xml:space="preserve"> Decreto nº 99.710/1990. </w:t>
      </w:r>
      <w:r w:rsidRPr="007B133D">
        <w:rPr>
          <w:sz w:val="20"/>
          <w:szCs w:val="20"/>
        </w:rPr>
        <w:t>Planalto</w:t>
      </w:r>
      <w:r w:rsidRPr="007B133D">
        <w:rPr>
          <w:b w:val="0"/>
          <w:bCs w:val="0"/>
          <w:sz w:val="20"/>
          <w:szCs w:val="20"/>
        </w:rPr>
        <w:t xml:space="preserve">. [Em linha]. (21-11-1990). Disponível em </w:t>
      </w:r>
      <w:hyperlink r:id="rId3" w:history="1">
        <w:r w:rsidRPr="007B133D">
          <w:rPr>
            <w:rStyle w:val="Hyperlink"/>
            <w:rFonts w:eastAsiaTheme="majorEastAsia"/>
            <w:b w:val="0"/>
            <w:bCs w:val="0"/>
            <w:color w:val="auto"/>
            <w:sz w:val="20"/>
            <w:szCs w:val="20"/>
          </w:rPr>
          <w:t>http://www.planalto.gov.br/ccivil_03/decreto/1990-1994/d99710.htm</w:t>
        </w:r>
      </w:hyperlink>
      <w:r w:rsidRPr="007B133D">
        <w:rPr>
          <w:b w:val="0"/>
          <w:bCs w:val="0"/>
          <w:sz w:val="20"/>
          <w:szCs w:val="20"/>
        </w:rPr>
        <w:t xml:space="preserve">.   </w:t>
      </w:r>
    </w:p>
  </w:footnote>
  <w:footnote w:id="23">
    <w:p w14:paraId="5D815B92" w14:textId="77777777" w:rsidR="00ED6932" w:rsidRPr="007B133D" w:rsidRDefault="00ED6932" w:rsidP="00157BA1">
      <w:pPr>
        <w:pStyle w:val="Textodenotaderodap"/>
        <w:spacing w:line="240" w:lineRule="auto"/>
        <w:ind w:left="284" w:hanging="284"/>
        <w:rPr>
          <w:rFonts w:cs="Times New Roman"/>
          <w:b w:val="0"/>
          <w:bCs/>
        </w:rPr>
      </w:pPr>
      <w:r w:rsidRPr="007B133D">
        <w:rPr>
          <w:rStyle w:val="Refdenotaderodap"/>
          <w:rFonts w:cs="Times New Roman"/>
          <w:b w:val="0"/>
        </w:rPr>
        <w:footnoteRef/>
      </w:r>
      <w:r w:rsidRPr="007B133D">
        <w:rPr>
          <w:rFonts w:cs="Times New Roman"/>
          <w:b w:val="0"/>
        </w:rPr>
        <w:t xml:space="preserve"> Art. 227 É dever da família, da sociedade e do Estado assegurar à criança, ao adolescente e ao jovem, com </w:t>
      </w:r>
      <w:r w:rsidRPr="007B133D">
        <w:rPr>
          <w:rFonts w:cs="Times New Roman"/>
          <w:b w:val="0"/>
          <w:bCs/>
        </w:rPr>
        <w:t>absoluta prioridade, o direito à vida, à saúde, à alimentação, à educação, ao lazer, à profissionalização, à cultura, à dignidade, ao respeito, à liberdade e à convivência familiar e comunitária, além de colocá-lo a salvo de toda forma de negligência, discriminação, exploração, violência, crueldade e opressão.</w:t>
      </w:r>
    </w:p>
  </w:footnote>
  <w:footnote w:id="24">
    <w:p w14:paraId="46A2DF62" w14:textId="77777777" w:rsidR="00ED6932" w:rsidRPr="007B133D" w:rsidRDefault="00ED6932" w:rsidP="00157BA1">
      <w:pPr>
        <w:pStyle w:val="Textodenotaderodap"/>
        <w:spacing w:line="240" w:lineRule="auto"/>
        <w:ind w:left="284" w:hanging="284"/>
        <w:rPr>
          <w:rFonts w:cs="Times New Roman"/>
          <w:b w:val="0"/>
          <w:bCs/>
        </w:rPr>
      </w:pPr>
      <w:r w:rsidRPr="007B133D">
        <w:rPr>
          <w:rStyle w:val="Refdenotaderodap"/>
          <w:rFonts w:cs="Times New Roman"/>
          <w:b w:val="0"/>
          <w:bCs/>
        </w:rPr>
        <w:footnoteRef/>
      </w:r>
      <w:r w:rsidRPr="007B133D">
        <w:rPr>
          <w:rFonts w:cs="Times New Roman"/>
          <w:b w:val="0"/>
          <w:bCs/>
        </w:rPr>
        <w:t xml:space="preserve"> A criança e </w:t>
      </w:r>
      <w:proofErr w:type="spellStart"/>
      <w:r w:rsidRPr="007B133D">
        <w:rPr>
          <w:rFonts w:cs="Times New Roman"/>
          <w:b w:val="0"/>
          <w:bCs/>
        </w:rPr>
        <w:t>o</w:t>
      </w:r>
      <w:proofErr w:type="spellEnd"/>
      <w:r w:rsidRPr="007B133D">
        <w:rPr>
          <w:rFonts w:cs="Times New Roman"/>
          <w:b w:val="0"/>
          <w:bCs/>
        </w:rPr>
        <w:t xml:space="preserve"> adolescente gozam de todos os direitos fundamentais inerentes à pessoa humana, sem prejuízo da proteção integral de que trata esta lei, </w:t>
      </w:r>
      <w:proofErr w:type="spellStart"/>
      <w:r w:rsidRPr="007B133D">
        <w:rPr>
          <w:rFonts w:cs="Times New Roman"/>
          <w:b w:val="0"/>
          <w:bCs/>
        </w:rPr>
        <w:t>assegurando-se-lhes</w:t>
      </w:r>
      <w:proofErr w:type="spellEnd"/>
      <w:r w:rsidRPr="007B133D">
        <w:rPr>
          <w:rFonts w:cs="Times New Roman"/>
          <w:b w:val="0"/>
          <w:bCs/>
        </w:rPr>
        <w:t>, por lei ou por outros meios, todas as oportunidades e facilidades, a fim de lhes facultar o desenvolvimento físico, mental, moral, espiritual e social, em condições de liberdade e de dignidade.</w:t>
      </w:r>
    </w:p>
  </w:footnote>
  <w:footnote w:id="25">
    <w:p w14:paraId="7160894A" w14:textId="77777777" w:rsidR="00ED6932" w:rsidRPr="007B133D" w:rsidRDefault="00ED6932" w:rsidP="00157BA1">
      <w:pPr>
        <w:pStyle w:val="Ttulo1"/>
        <w:numPr>
          <w:ilvl w:val="0"/>
          <w:numId w:val="0"/>
        </w:numPr>
        <w:spacing w:line="240" w:lineRule="auto"/>
        <w:ind w:left="284" w:hanging="284"/>
        <w:rPr>
          <w:b w:val="0"/>
          <w:bCs w:val="0"/>
          <w:sz w:val="20"/>
          <w:szCs w:val="20"/>
        </w:rPr>
      </w:pPr>
      <w:r w:rsidRPr="007B133D">
        <w:rPr>
          <w:rStyle w:val="Refdenotaderodap"/>
          <w:b w:val="0"/>
          <w:bCs w:val="0"/>
          <w:sz w:val="20"/>
          <w:szCs w:val="20"/>
        </w:rPr>
        <w:footnoteRef/>
      </w:r>
      <w:r w:rsidRPr="007B133D">
        <w:rPr>
          <w:b w:val="0"/>
          <w:bCs w:val="0"/>
          <w:sz w:val="20"/>
          <w:szCs w:val="20"/>
        </w:rPr>
        <w:t xml:space="preserve"> SUPERIOR Tribunal de Justiça - Habeas Corpus nº 293634 DF 2014/0099841-3, 1ª Seção, de 22 de outubro de 2014. Relator Ministro Sérgio </w:t>
      </w:r>
      <w:proofErr w:type="spellStart"/>
      <w:r w:rsidRPr="007B133D">
        <w:rPr>
          <w:b w:val="0"/>
          <w:bCs w:val="0"/>
          <w:sz w:val="20"/>
          <w:szCs w:val="20"/>
        </w:rPr>
        <w:t>Kukina</w:t>
      </w:r>
      <w:proofErr w:type="spellEnd"/>
      <w:r w:rsidRPr="007B133D">
        <w:rPr>
          <w:b w:val="0"/>
          <w:bCs w:val="0"/>
          <w:sz w:val="20"/>
          <w:szCs w:val="20"/>
        </w:rPr>
        <w:t xml:space="preserve">. </w:t>
      </w:r>
    </w:p>
  </w:footnote>
  <w:footnote w:id="26">
    <w:p w14:paraId="1F7FE228" w14:textId="77777777" w:rsidR="00ED6932" w:rsidRPr="007B133D" w:rsidRDefault="00ED6932" w:rsidP="0036011E">
      <w:pPr>
        <w:pStyle w:val="Textodenotaderodap"/>
        <w:spacing w:line="240" w:lineRule="auto"/>
        <w:ind w:left="284" w:hanging="284"/>
        <w:rPr>
          <w:b w:val="0"/>
          <w:bCs/>
        </w:rPr>
      </w:pPr>
      <w:r w:rsidRPr="007B133D">
        <w:rPr>
          <w:rStyle w:val="Refdenotaderodap"/>
          <w:b w:val="0"/>
          <w:bCs/>
        </w:rPr>
        <w:footnoteRef/>
      </w:r>
      <w:r w:rsidRPr="007B133D">
        <w:rPr>
          <w:b w:val="0"/>
          <w:bCs/>
        </w:rPr>
        <w:t xml:space="preserve"> PAIXÃO, Silva Relat. - Acórdão do Supremo Tribunal de Justiça, com o n</w:t>
      </w:r>
      <w:r w:rsidRPr="007B133D">
        <w:rPr>
          <w:rFonts w:cs="Times New Roman"/>
          <w:b w:val="0"/>
          <w:bCs/>
        </w:rPr>
        <w:t>°</w:t>
      </w:r>
      <w:r w:rsidRPr="007B133D">
        <w:rPr>
          <w:b w:val="0"/>
          <w:bCs/>
        </w:rPr>
        <w:t xml:space="preserve"> 98A058, de 3 de março de 1998. </w:t>
      </w:r>
      <w:r w:rsidRPr="007B133D">
        <w:rPr>
          <w:rFonts w:cs="Times New Roman"/>
          <w:b w:val="0"/>
          <w:bCs/>
        </w:rPr>
        <w:t>[</w:t>
      </w:r>
      <w:r w:rsidRPr="007B133D">
        <w:rPr>
          <w:b w:val="0"/>
          <w:bCs/>
        </w:rPr>
        <w:t>Em linha</w:t>
      </w:r>
      <w:r w:rsidRPr="007B133D">
        <w:rPr>
          <w:rFonts w:cs="Times New Roman"/>
          <w:b w:val="0"/>
          <w:bCs/>
        </w:rPr>
        <w:t>]</w:t>
      </w:r>
      <w:r w:rsidRPr="007B133D">
        <w:rPr>
          <w:b w:val="0"/>
          <w:bCs/>
        </w:rPr>
        <w:t xml:space="preserve">. </w:t>
      </w:r>
      <w:r w:rsidRPr="007B133D">
        <w:rPr>
          <w:rFonts w:cs="Times New Roman"/>
          <w:b w:val="0"/>
          <w:bCs/>
        </w:rPr>
        <w:t>[</w:t>
      </w:r>
      <w:proofErr w:type="spellStart"/>
      <w:r w:rsidRPr="007B133D">
        <w:rPr>
          <w:b w:val="0"/>
          <w:bCs/>
        </w:rPr>
        <w:t>Consult</w:t>
      </w:r>
      <w:proofErr w:type="spellEnd"/>
      <w:r w:rsidRPr="007B133D">
        <w:rPr>
          <w:b w:val="0"/>
          <w:bCs/>
        </w:rPr>
        <w:t>. 07 jan. 2020</w:t>
      </w:r>
      <w:r w:rsidRPr="007B133D">
        <w:rPr>
          <w:rFonts w:cs="Times New Roman"/>
          <w:b w:val="0"/>
          <w:bCs/>
        </w:rPr>
        <w:t xml:space="preserve">]. Disponível em </w:t>
      </w:r>
      <w:r w:rsidRPr="007B133D">
        <w:rPr>
          <w:b w:val="0"/>
          <w:bCs/>
        </w:rPr>
        <w:t xml:space="preserve">http://www.dgsi.pt/jstj.nsf/-/87BB42A7F2CF6B24802568FC003B7D93.  </w:t>
      </w:r>
    </w:p>
  </w:footnote>
  <w:footnote w:id="27">
    <w:p w14:paraId="0813DF31" w14:textId="77777777" w:rsidR="00ED6932" w:rsidRPr="007B133D" w:rsidRDefault="00ED6932" w:rsidP="002603E7">
      <w:pPr>
        <w:pStyle w:val="Textodenotaderodap"/>
        <w:spacing w:line="240" w:lineRule="auto"/>
        <w:ind w:left="284" w:hanging="284"/>
        <w:rPr>
          <w:b w:val="0"/>
          <w:bCs/>
        </w:rPr>
      </w:pPr>
      <w:r w:rsidRPr="007B133D">
        <w:rPr>
          <w:rStyle w:val="Refdenotaderodap"/>
          <w:b w:val="0"/>
          <w:bCs/>
        </w:rPr>
        <w:footnoteRef/>
      </w:r>
      <w:r w:rsidRPr="007B133D">
        <w:rPr>
          <w:b w:val="0"/>
          <w:bCs/>
        </w:rPr>
        <w:t xml:space="preserve"> MONTES, Custodio - Acórdão do Supremo Tribunal de Justiça, com o n</w:t>
      </w:r>
      <w:r w:rsidRPr="007B133D">
        <w:rPr>
          <w:rFonts w:cs="Times New Roman"/>
          <w:b w:val="0"/>
          <w:bCs/>
        </w:rPr>
        <w:t>°</w:t>
      </w:r>
      <w:r w:rsidRPr="007B133D">
        <w:rPr>
          <w:b w:val="0"/>
          <w:bCs/>
        </w:rPr>
        <w:t xml:space="preserve"> 04B3939, de 9 de dezembro de 2004. </w:t>
      </w:r>
      <w:r w:rsidRPr="007B133D">
        <w:rPr>
          <w:rFonts w:cs="Times New Roman"/>
          <w:b w:val="0"/>
          <w:bCs/>
        </w:rPr>
        <w:t>[</w:t>
      </w:r>
      <w:r w:rsidRPr="007B133D">
        <w:rPr>
          <w:b w:val="0"/>
          <w:bCs/>
        </w:rPr>
        <w:t>Em linha</w:t>
      </w:r>
      <w:r w:rsidRPr="007B133D">
        <w:rPr>
          <w:rFonts w:cs="Times New Roman"/>
          <w:b w:val="0"/>
          <w:bCs/>
        </w:rPr>
        <w:t>]</w:t>
      </w:r>
      <w:r w:rsidRPr="007B133D">
        <w:rPr>
          <w:b w:val="0"/>
          <w:bCs/>
        </w:rPr>
        <w:t xml:space="preserve">. </w:t>
      </w:r>
      <w:r w:rsidRPr="007B133D">
        <w:rPr>
          <w:rFonts w:cs="Times New Roman"/>
          <w:b w:val="0"/>
          <w:bCs/>
        </w:rPr>
        <w:t>[</w:t>
      </w:r>
      <w:proofErr w:type="spellStart"/>
      <w:r w:rsidRPr="007B133D">
        <w:rPr>
          <w:b w:val="0"/>
          <w:bCs/>
        </w:rPr>
        <w:t>Consult</w:t>
      </w:r>
      <w:proofErr w:type="spellEnd"/>
      <w:r w:rsidRPr="007B133D">
        <w:rPr>
          <w:b w:val="0"/>
          <w:bCs/>
        </w:rPr>
        <w:t>. 07 jan. 2020</w:t>
      </w:r>
      <w:r w:rsidRPr="007B133D">
        <w:rPr>
          <w:rFonts w:cs="Times New Roman"/>
          <w:b w:val="0"/>
          <w:bCs/>
        </w:rPr>
        <w:t xml:space="preserve">]. Disponível em </w:t>
      </w:r>
      <w:r w:rsidRPr="007B133D">
        <w:rPr>
          <w:b w:val="0"/>
          <w:bCs/>
        </w:rPr>
        <w:t>http://www.dgsi.pt/jstj.nsf/0/ed340e4a14274c0a80256f94004f590a?OpenDocument.</w:t>
      </w:r>
    </w:p>
  </w:footnote>
  <w:footnote w:id="28">
    <w:p w14:paraId="7D66194A" w14:textId="77777777" w:rsidR="00ED6932" w:rsidRPr="007B133D" w:rsidRDefault="00ED6932" w:rsidP="00C93F2E">
      <w:pPr>
        <w:pStyle w:val="Textodenotaderodap"/>
        <w:spacing w:line="240" w:lineRule="auto"/>
        <w:ind w:left="284" w:hanging="284"/>
        <w:rPr>
          <w:b w:val="0"/>
          <w:bCs/>
        </w:rPr>
      </w:pPr>
      <w:r w:rsidRPr="007B133D">
        <w:rPr>
          <w:rStyle w:val="Refdenotaderodap"/>
          <w:b w:val="0"/>
          <w:bCs/>
        </w:rPr>
        <w:footnoteRef/>
      </w:r>
      <w:r w:rsidRPr="007B133D">
        <w:rPr>
          <w:b w:val="0"/>
          <w:bCs/>
        </w:rPr>
        <w:t xml:space="preserve"> CAMPOS, Diogo Leite de – A família: do direito aos direitos. </w:t>
      </w:r>
      <w:r w:rsidRPr="007B133D">
        <w:t>Revista Brasileira de Direito Comparado.</w:t>
      </w:r>
      <w:r w:rsidRPr="007B133D">
        <w:rPr>
          <w:b w:val="0"/>
          <w:bCs/>
        </w:rPr>
        <w:t xml:space="preserve"> Rio de Janeiro: Instituto de Direito Comparado Luso-Brasileiro. N</w:t>
      </w:r>
      <w:r w:rsidRPr="007B133D">
        <w:rPr>
          <w:rFonts w:cs="Times New Roman"/>
          <w:b w:val="0"/>
          <w:bCs/>
        </w:rPr>
        <w:t>°</w:t>
      </w:r>
      <w:r w:rsidRPr="007B133D">
        <w:rPr>
          <w:b w:val="0"/>
          <w:bCs/>
        </w:rPr>
        <w:t xml:space="preserve">32, 2009, p. 221-237, p. 237. </w:t>
      </w:r>
    </w:p>
  </w:footnote>
  <w:footnote w:id="29">
    <w:p w14:paraId="50E51874" w14:textId="77777777" w:rsidR="00ED6932" w:rsidRPr="007B133D" w:rsidRDefault="00ED6932" w:rsidP="00157BA1">
      <w:pPr>
        <w:pStyle w:val="Ttulo1"/>
        <w:numPr>
          <w:ilvl w:val="0"/>
          <w:numId w:val="0"/>
        </w:numPr>
        <w:spacing w:line="240" w:lineRule="auto"/>
        <w:ind w:left="284" w:hanging="284"/>
        <w:rPr>
          <w:b w:val="0"/>
          <w:bCs w:val="0"/>
          <w:sz w:val="20"/>
          <w:szCs w:val="20"/>
        </w:rPr>
      </w:pPr>
      <w:r w:rsidRPr="007B133D">
        <w:rPr>
          <w:rStyle w:val="Refdenotaderodap"/>
          <w:b w:val="0"/>
          <w:bCs w:val="0"/>
          <w:sz w:val="20"/>
          <w:szCs w:val="20"/>
        </w:rPr>
        <w:footnoteRef/>
      </w:r>
      <w:r w:rsidRPr="007B133D">
        <w:rPr>
          <w:b w:val="0"/>
          <w:bCs w:val="0"/>
          <w:sz w:val="20"/>
          <w:szCs w:val="20"/>
        </w:rPr>
        <w:t xml:space="preserve"> SUPERIOR Tribunal de Justiça - Recurso Especial nº 1.159.242/SP, 3ª Turma, de 24 de abril de 2012. Relatora Ministra Nancy </w:t>
      </w:r>
      <w:proofErr w:type="spellStart"/>
      <w:r w:rsidRPr="007B133D">
        <w:rPr>
          <w:b w:val="0"/>
          <w:bCs w:val="0"/>
          <w:sz w:val="20"/>
          <w:szCs w:val="20"/>
        </w:rPr>
        <w:t>Andrighi</w:t>
      </w:r>
      <w:proofErr w:type="spellEnd"/>
      <w:r w:rsidRPr="007B133D">
        <w:rPr>
          <w:b w:val="0"/>
          <w:bCs w:val="0"/>
          <w:sz w:val="20"/>
          <w:szCs w:val="20"/>
        </w:rPr>
        <w:t>.</w:t>
      </w:r>
    </w:p>
  </w:footnote>
  <w:footnote w:id="30">
    <w:p w14:paraId="7FE7FB9E" w14:textId="77777777" w:rsidR="00ED6932" w:rsidRPr="007B133D" w:rsidRDefault="00ED6932" w:rsidP="00157BA1">
      <w:pPr>
        <w:pStyle w:val="Ttulo1"/>
        <w:numPr>
          <w:ilvl w:val="0"/>
          <w:numId w:val="0"/>
        </w:numPr>
        <w:spacing w:line="240" w:lineRule="auto"/>
        <w:ind w:left="284" w:hanging="284"/>
        <w:rPr>
          <w:b w:val="0"/>
          <w:bCs w:val="0"/>
          <w:sz w:val="20"/>
          <w:szCs w:val="20"/>
        </w:rPr>
      </w:pPr>
      <w:r w:rsidRPr="007B133D">
        <w:rPr>
          <w:rStyle w:val="Refdenotaderodap"/>
          <w:b w:val="0"/>
          <w:bCs w:val="0"/>
          <w:sz w:val="20"/>
          <w:szCs w:val="20"/>
        </w:rPr>
        <w:footnoteRef/>
      </w:r>
      <w:r w:rsidRPr="007B133D">
        <w:rPr>
          <w:b w:val="0"/>
          <w:bCs w:val="0"/>
          <w:sz w:val="20"/>
          <w:szCs w:val="20"/>
        </w:rPr>
        <w:t xml:space="preserve"> SUPERIOR Tribunal de Justiça - Recurso Especial nº 945.283/RN 2007/0079129-4, 4ª Turma, de 15 de setembro de 2009. Relator Ministro </w:t>
      </w:r>
      <w:proofErr w:type="spellStart"/>
      <w:r w:rsidRPr="007B133D">
        <w:rPr>
          <w:b w:val="0"/>
          <w:bCs w:val="0"/>
          <w:sz w:val="20"/>
          <w:szCs w:val="20"/>
        </w:rPr>
        <w:t>Luis</w:t>
      </w:r>
      <w:proofErr w:type="spellEnd"/>
      <w:r w:rsidRPr="007B133D">
        <w:rPr>
          <w:b w:val="0"/>
          <w:bCs w:val="0"/>
          <w:sz w:val="20"/>
          <w:szCs w:val="20"/>
        </w:rPr>
        <w:t xml:space="preserve"> Felipe Salomão. </w:t>
      </w:r>
    </w:p>
  </w:footnote>
  <w:footnote w:id="31">
    <w:p w14:paraId="01ACE8AB" w14:textId="77777777" w:rsidR="00ED6932" w:rsidRPr="007B133D" w:rsidRDefault="00ED6932" w:rsidP="00157BA1">
      <w:pPr>
        <w:pStyle w:val="Textodenotaderodap"/>
        <w:spacing w:line="240" w:lineRule="auto"/>
        <w:ind w:left="284" w:hanging="284"/>
        <w:rPr>
          <w:rFonts w:cs="Times New Roman"/>
          <w:b w:val="0"/>
        </w:rPr>
      </w:pPr>
      <w:r w:rsidRPr="007B133D">
        <w:rPr>
          <w:rStyle w:val="Refdenotaderodap"/>
          <w:rFonts w:cs="Times New Roman"/>
          <w:b w:val="0"/>
        </w:rPr>
        <w:footnoteRef/>
      </w:r>
      <w:r w:rsidRPr="007B133D">
        <w:rPr>
          <w:rFonts w:cs="Times New Roman"/>
          <w:b w:val="0"/>
        </w:rPr>
        <w:t xml:space="preserve"> PEREIRA, Rodrigo da Cunha – </w:t>
      </w:r>
      <w:r w:rsidRPr="007B133D">
        <w:rPr>
          <w:rFonts w:cs="Times New Roman"/>
          <w:bCs/>
        </w:rPr>
        <w:t>Direito de Família e o novo Código Civil.</w:t>
      </w:r>
      <w:r w:rsidRPr="007B133D">
        <w:rPr>
          <w:rFonts w:cs="Times New Roman"/>
          <w:b w:val="0"/>
        </w:rPr>
        <w:t xml:space="preserve"> Belo Horizonte: Del Rey/IBDFAM, 2002, p. 226-227.</w:t>
      </w:r>
    </w:p>
  </w:footnote>
  <w:footnote w:id="32">
    <w:p w14:paraId="61669CCB" w14:textId="77777777" w:rsidR="00ED6932" w:rsidRPr="007B133D" w:rsidRDefault="00ED6932" w:rsidP="00157BA1">
      <w:pPr>
        <w:pStyle w:val="Textodenotaderodap"/>
        <w:spacing w:line="240" w:lineRule="auto"/>
        <w:ind w:left="284" w:hanging="284"/>
        <w:rPr>
          <w:rFonts w:cs="Times New Roman"/>
          <w:b w:val="0"/>
        </w:rPr>
      </w:pPr>
      <w:r w:rsidRPr="007B133D">
        <w:rPr>
          <w:rStyle w:val="Refdenotaderodap"/>
          <w:rFonts w:cs="Times New Roman"/>
          <w:b w:val="0"/>
        </w:rPr>
        <w:footnoteRef/>
      </w:r>
      <w:r w:rsidRPr="007B133D">
        <w:rPr>
          <w:rFonts w:cs="Times New Roman"/>
          <w:b w:val="0"/>
        </w:rPr>
        <w:t xml:space="preserve"> Art. 5° Para os efeitos desta Lei, configura violência doméstica e familiar contra a mulher qualquer ação ou omissão baseada no gênero que lhe cause morte, lesão, sofrimento físico, sexual ou psicológico e dano moral ou patrimonial:</w:t>
      </w:r>
    </w:p>
    <w:p w14:paraId="389A0C30" w14:textId="77777777" w:rsidR="00ED6932" w:rsidRPr="007B133D" w:rsidRDefault="00ED6932" w:rsidP="00157BA1">
      <w:pPr>
        <w:pStyle w:val="Textodenotaderodap"/>
        <w:spacing w:line="240" w:lineRule="auto"/>
        <w:ind w:left="284" w:hanging="284"/>
        <w:rPr>
          <w:rFonts w:cs="Times New Roman"/>
          <w:b w:val="0"/>
        </w:rPr>
      </w:pPr>
      <w:r w:rsidRPr="007B133D">
        <w:rPr>
          <w:rFonts w:cs="Times New Roman"/>
          <w:b w:val="0"/>
        </w:rPr>
        <w:t>(...)</w:t>
      </w:r>
    </w:p>
    <w:p w14:paraId="08D26243" w14:textId="77777777" w:rsidR="00ED6932" w:rsidRPr="007B133D" w:rsidRDefault="00ED6932" w:rsidP="00157BA1">
      <w:pPr>
        <w:pStyle w:val="Textodenotaderodap"/>
        <w:spacing w:line="240" w:lineRule="auto"/>
        <w:ind w:left="284" w:hanging="284"/>
        <w:rPr>
          <w:rFonts w:cs="Times New Roman"/>
        </w:rPr>
      </w:pPr>
      <w:r w:rsidRPr="007B133D">
        <w:rPr>
          <w:rFonts w:cs="Times New Roman"/>
          <w:b w:val="0"/>
        </w:rPr>
        <w:t xml:space="preserve">III – em qualquer relação íntima de afeto, na qual o agressor conviva ou tenha convivido com a ofendida, independentemente de coabitação. </w:t>
      </w:r>
    </w:p>
  </w:footnote>
  <w:footnote w:id="33">
    <w:p w14:paraId="0A104922" w14:textId="77777777" w:rsidR="00ED6932" w:rsidRPr="007B133D" w:rsidRDefault="00ED6932" w:rsidP="00157BA1">
      <w:pPr>
        <w:pStyle w:val="Ttulo1"/>
        <w:numPr>
          <w:ilvl w:val="0"/>
          <w:numId w:val="0"/>
        </w:numPr>
        <w:spacing w:line="240" w:lineRule="auto"/>
        <w:ind w:left="284" w:hanging="284"/>
        <w:rPr>
          <w:b w:val="0"/>
          <w:bCs w:val="0"/>
          <w:sz w:val="20"/>
          <w:szCs w:val="20"/>
        </w:rPr>
      </w:pPr>
      <w:r w:rsidRPr="007B133D">
        <w:rPr>
          <w:rStyle w:val="Refdenotaderodap"/>
          <w:rFonts w:eastAsia="Calibri"/>
          <w:b w:val="0"/>
          <w:bCs w:val="0"/>
          <w:sz w:val="20"/>
          <w:szCs w:val="20"/>
        </w:rPr>
        <w:footnoteRef/>
      </w:r>
      <w:r w:rsidRPr="007B133D">
        <w:rPr>
          <w:b w:val="0"/>
          <w:bCs w:val="0"/>
          <w:sz w:val="20"/>
          <w:szCs w:val="20"/>
        </w:rPr>
        <w:t xml:space="preserve"> GONÇALVES, Carlos Roberto - </w:t>
      </w:r>
      <w:r w:rsidRPr="007B133D">
        <w:rPr>
          <w:sz w:val="20"/>
          <w:szCs w:val="20"/>
        </w:rPr>
        <w:t>Direito de Família.</w:t>
      </w:r>
      <w:r w:rsidRPr="007B133D">
        <w:rPr>
          <w:b w:val="0"/>
          <w:bCs w:val="0"/>
          <w:sz w:val="20"/>
          <w:szCs w:val="20"/>
        </w:rPr>
        <w:t xml:space="preserve"> São Paulo: Saraiva, 2011, p. 109.</w:t>
      </w:r>
    </w:p>
  </w:footnote>
  <w:footnote w:id="34">
    <w:p w14:paraId="2DD257F2" w14:textId="28F09B24" w:rsidR="00ED6932" w:rsidRPr="007B133D" w:rsidRDefault="00ED6932" w:rsidP="00157BA1">
      <w:pPr>
        <w:pStyle w:val="Ttulo1"/>
        <w:numPr>
          <w:ilvl w:val="0"/>
          <w:numId w:val="0"/>
        </w:numPr>
        <w:spacing w:line="240" w:lineRule="auto"/>
        <w:ind w:left="284" w:hanging="284"/>
        <w:rPr>
          <w:b w:val="0"/>
          <w:bCs w:val="0"/>
          <w:sz w:val="20"/>
          <w:szCs w:val="20"/>
        </w:rPr>
      </w:pPr>
      <w:r w:rsidRPr="007B133D">
        <w:rPr>
          <w:rStyle w:val="Refdenotaderodap"/>
          <w:rFonts w:eastAsia="Calibri"/>
          <w:b w:val="0"/>
          <w:bCs w:val="0"/>
          <w:sz w:val="20"/>
          <w:szCs w:val="20"/>
        </w:rPr>
        <w:footnoteRef/>
      </w:r>
      <w:r w:rsidRPr="007B133D">
        <w:rPr>
          <w:b w:val="0"/>
          <w:bCs w:val="0"/>
          <w:sz w:val="20"/>
          <w:szCs w:val="20"/>
        </w:rPr>
        <w:t xml:space="preserve"> PEREIRA, Caio Mario da Silva - </w:t>
      </w:r>
      <w:r w:rsidRPr="007B133D">
        <w:rPr>
          <w:sz w:val="20"/>
          <w:szCs w:val="20"/>
        </w:rPr>
        <w:t>Instituições de direito civil: direito de família.</w:t>
      </w:r>
      <w:r w:rsidRPr="007B133D">
        <w:rPr>
          <w:b w:val="0"/>
          <w:bCs w:val="0"/>
          <w:sz w:val="20"/>
          <w:szCs w:val="20"/>
        </w:rPr>
        <w:t xml:space="preserve"> Rio de Janeiro: Revista Forense, 201</w:t>
      </w:r>
      <w:r>
        <w:rPr>
          <w:b w:val="0"/>
          <w:bCs w:val="0"/>
          <w:sz w:val="20"/>
          <w:szCs w:val="20"/>
        </w:rPr>
        <w:t>4</w:t>
      </w:r>
      <w:r w:rsidRPr="007B133D">
        <w:rPr>
          <w:b w:val="0"/>
          <w:bCs w:val="0"/>
          <w:sz w:val="20"/>
          <w:szCs w:val="20"/>
        </w:rPr>
        <w:t>, p. 315.</w:t>
      </w:r>
    </w:p>
  </w:footnote>
  <w:footnote w:id="35">
    <w:p w14:paraId="7984BA66" w14:textId="77777777" w:rsidR="00ED6932" w:rsidRPr="007B133D" w:rsidRDefault="00ED6932" w:rsidP="00157BA1">
      <w:pPr>
        <w:pStyle w:val="Ttulo1"/>
        <w:numPr>
          <w:ilvl w:val="0"/>
          <w:numId w:val="0"/>
        </w:numPr>
        <w:spacing w:line="240" w:lineRule="auto"/>
        <w:ind w:left="284" w:hanging="284"/>
        <w:rPr>
          <w:b w:val="0"/>
          <w:bCs w:val="0"/>
          <w:sz w:val="20"/>
          <w:szCs w:val="20"/>
        </w:rPr>
      </w:pPr>
      <w:r w:rsidRPr="007B133D">
        <w:rPr>
          <w:rStyle w:val="Refdenotaderodap"/>
          <w:rFonts w:eastAsia="Calibri"/>
          <w:b w:val="0"/>
          <w:bCs w:val="0"/>
          <w:sz w:val="20"/>
          <w:szCs w:val="20"/>
        </w:rPr>
        <w:footnoteRef/>
      </w:r>
      <w:r w:rsidRPr="007B133D">
        <w:rPr>
          <w:b w:val="0"/>
          <w:bCs w:val="0"/>
          <w:sz w:val="20"/>
          <w:szCs w:val="20"/>
        </w:rPr>
        <w:t xml:space="preserve"> DINIZ, Maria Helena – </w:t>
      </w:r>
      <w:r w:rsidRPr="007B133D">
        <w:rPr>
          <w:sz w:val="20"/>
          <w:szCs w:val="20"/>
        </w:rPr>
        <w:t>Curso de direito civil brasileiro: Direito de Família</w:t>
      </w:r>
      <w:r w:rsidRPr="007B133D">
        <w:rPr>
          <w:b w:val="0"/>
          <w:bCs w:val="0"/>
          <w:sz w:val="20"/>
          <w:szCs w:val="20"/>
        </w:rPr>
        <w:t xml:space="preserve">, volume 5, 27ª edição. São Paulo: Saraiva, 2012, p. 488-489. </w:t>
      </w:r>
    </w:p>
  </w:footnote>
  <w:footnote w:id="36">
    <w:p w14:paraId="73EFD2F0" w14:textId="226E0EF8" w:rsidR="00ED6932" w:rsidRPr="007B133D" w:rsidRDefault="00ED6932" w:rsidP="00157BA1">
      <w:pPr>
        <w:pStyle w:val="Ttulo1"/>
        <w:numPr>
          <w:ilvl w:val="0"/>
          <w:numId w:val="0"/>
        </w:numPr>
        <w:spacing w:line="240" w:lineRule="auto"/>
        <w:ind w:left="284" w:hanging="284"/>
        <w:rPr>
          <w:sz w:val="20"/>
          <w:szCs w:val="20"/>
        </w:rPr>
      </w:pPr>
      <w:r w:rsidRPr="007B133D">
        <w:rPr>
          <w:rStyle w:val="Refdenotaderodap"/>
          <w:rFonts w:eastAsia="Calibri"/>
          <w:b w:val="0"/>
          <w:bCs w:val="0"/>
          <w:sz w:val="20"/>
          <w:szCs w:val="20"/>
        </w:rPr>
        <w:footnoteRef/>
      </w:r>
      <w:r w:rsidRPr="007B133D">
        <w:rPr>
          <w:b w:val="0"/>
          <w:bCs w:val="0"/>
          <w:sz w:val="20"/>
          <w:szCs w:val="20"/>
        </w:rPr>
        <w:t xml:space="preserve"> DIAS, Maria Berenice – </w:t>
      </w:r>
      <w:r w:rsidRPr="00B63796">
        <w:rPr>
          <w:i/>
          <w:iCs/>
          <w:sz w:val="20"/>
          <w:szCs w:val="20"/>
        </w:rPr>
        <w:t>Op. Cit</w:t>
      </w:r>
      <w:r>
        <w:rPr>
          <w:sz w:val="20"/>
          <w:szCs w:val="20"/>
        </w:rPr>
        <w:t xml:space="preserve">. </w:t>
      </w:r>
      <w:r w:rsidRPr="007B133D">
        <w:rPr>
          <w:b w:val="0"/>
          <w:bCs w:val="0"/>
          <w:sz w:val="20"/>
          <w:szCs w:val="20"/>
        </w:rPr>
        <w:t>p. 357-358.</w:t>
      </w:r>
    </w:p>
  </w:footnote>
  <w:footnote w:id="37">
    <w:p w14:paraId="527C3301" w14:textId="77777777" w:rsidR="00ED6932" w:rsidRPr="007B133D" w:rsidRDefault="00ED6932" w:rsidP="00157BA1">
      <w:pPr>
        <w:pStyle w:val="Ttulo1"/>
        <w:numPr>
          <w:ilvl w:val="0"/>
          <w:numId w:val="0"/>
        </w:numPr>
        <w:spacing w:line="240" w:lineRule="auto"/>
        <w:ind w:left="284" w:hanging="284"/>
        <w:rPr>
          <w:b w:val="0"/>
          <w:bCs w:val="0"/>
          <w:sz w:val="20"/>
          <w:szCs w:val="20"/>
        </w:rPr>
      </w:pPr>
      <w:r w:rsidRPr="007B133D">
        <w:rPr>
          <w:rStyle w:val="Refdenotaderodap"/>
          <w:rFonts w:eastAsia="Calibri"/>
          <w:b w:val="0"/>
          <w:bCs w:val="0"/>
          <w:sz w:val="20"/>
          <w:szCs w:val="20"/>
        </w:rPr>
        <w:footnoteRef/>
      </w:r>
      <w:r w:rsidRPr="007B133D">
        <w:rPr>
          <w:b w:val="0"/>
          <w:bCs w:val="0"/>
          <w:sz w:val="20"/>
          <w:szCs w:val="20"/>
        </w:rPr>
        <w:t xml:space="preserve"> FUJITA, Jorge </w:t>
      </w:r>
      <w:proofErr w:type="spellStart"/>
      <w:r w:rsidRPr="007B133D">
        <w:rPr>
          <w:b w:val="0"/>
          <w:bCs w:val="0"/>
          <w:sz w:val="20"/>
          <w:szCs w:val="20"/>
        </w:rPr>
        <w:t>Shiguemitsu</w:t>
      </w:r>
      <w:proofErr w:type="spellEnd"/>
      <w:r w:rsidRPr="007B133D">
        <w:rPr>
          <w:b w:val="0"/>
          <w:bCs w:val="0"/>
          <w:sz w:val="20"/>
          <w:szCs w:val="20"/>
        </w:rPr>
        <w:t xml:space="preserve"> - </w:t>
      </w:r>
      <w:r w:rsidRPr="007B133D">
        <w:rPr>
          <w:sz w:val="20"/>
          <w:szCs w:val="20"/>
        </w:rPr>
        <w:t>Filiação</w:t>
      </w:r>
      <w:r w:rsidRPr="007B133D">
        <w:rPr>
          <w:i/>
          <w:sz w:val="20"/>
          <w:szCs w:val="20"/>
        </w:rPr>
        <w:t>.</w:t>
      </w:r>
      <w:r w:rsidRPr="007B133D">
        <w:rPr>
          <w:b w:val="0"/>
          <w:bCs w:val="0"/>
          <w:sz w:val="20"/>
          <w:szCs w:val="20"/>
        </w:rPr>
        <w:t xml:space="preserve"> São Paulo: Atlas, 2011, p.61.</w:t>
      </w:r>
    </w:p>
  </w:footnote>
  <w:footnote w:id="38">
    <w:p w14:paraId="01BD83E9" w14:textId="77777777" w:rsidR="00ED6932" w:rsidRPr="007B133D" w:rsidRDefault="00ED6932" w:rsidP="00A91466">
      <w:pPr>
        <w:pStyle w:val="Textodenotaderodap"/>
        <w:spacing w:line="240" w:lineRule="auto"/>
        <w:ind w:firstLine="0"/>
        <w:rPr>
          <w:b w:val="0"/>
          <w:bCs/>
        </w:rPr>
      </w:pPr>
      <w:r w:rsidRPr="007B133D">
        <w:rPr>
          <w:rStyle w:val="Refdenotaderodap"/>
          <w:b w:val="0"/>
          <w:bCs/>
        </w:rPr>
        <w:footnoteRef/>
      </w:r>
      <w:r w:rsidRPr="007B133D">
        <w:rPr>
          <w:b w:val="0"/>
          <w:bCs/>
        </w:rPr>
        <w:t xml:space="preserve"> KASHIWAGI, Erika Kazumi – O reconhecimento de filho nos registros civis das pessoas naturais como garantia dos direitos fundamentais. In XXVI Encontro Nacional do CONPEDI Brasília/DF – </w:t>
      </w:r>
      <w:r w:rsidRPr="007B133D">
        <w:t>Direitos e Garantias Fundamentais III</w:t>
      </w:r>
      <w:r w:rsidRPr="007B133D">
        <w:rPr>
          <w:b w:val="0"/>
          <w:bCs/>
        </w:rPr>
        <w:t>. Brasília: CONPEDI, 2017, p. 271-272.</w:t>
      </w:r>
    </w:p>
  </w:footnote>
  <w:footnote w:id="39">
    <w:p w14:paraId="5E7A2D40" w14:textId="3EDB16F5" w:rsidR="00ED6932" w:rsidRPr="007B133D" w:rsidRDefault="00ED6932" w:rsidP="00157BA1">
      <w:pPr>
        <w:pStyle w:val="Ttulo1"/>
        <w:numPr>
          <w:ilvl w:val="0"/>
          <w:numId w:val="0"/>
        </w:numPr>
        <w:spacing w:line="240" w:lineRule="auto"/>
        <w:ind w:left="284" w:hanging="284"/>
        <w:rPr>
          <w:b w:val="0"/>
          <w:bCs w:val="0"/>
          <w:sz w:val="20"/>
          <w:szCs w:val="20"/>
        </w:rPr>
      </w:pPr>
      <w:r w:rsidRPr="007B133D">
        <w:rPr>
          <w:rStyle w:val="Refdenotaderodap"/>
          <w:rFonts w:eastAsia="Calibri"/>
          <w:b w:val="0"/>
          <w:bCs w:val="0"/>
          <w:sz w:val="20"/>
          <w:szCs w:val="20"/>
        </w:rPr>
        <w:footnoteRef/>
      </w:r>
      <w:r w:rsidRPr="007B133D">
        <w:rPr>
          <w:b w:val="0"/>
          <w:bCs w:val="0"/>
          <w:sz w:val="20"/>
          <w:szCs w:val="20"/>
        </w:rPr>
        <w:t xml:space="preserve"> DIAS, Maria Berenice </w:t>
      </w:r>
      <w:r>
        <w:rPr>
          <w:b w:val="0"/>
          <w:bCs w:val="0"/>
          <w:sz w:val="20"/>
          <w:szCs w:val="20"/>
        </w:rPr>
        <w:t>–</w:t>
      </w:r>
      <w:r w:rsidRPr="007B133D">
        <w:rPr>
          <w:b w:val="0"/>
          <w:bCs w:val="0"/>
          <w:sz w:val="20"/>
          <w:szCs w:val="20"/>
        </w:rPr>
        <w:t xml:space="preserve"> </w:t>
      </w:r>
      <w:r w:rsidRPr="00AA295E">
        <w:rPr>
          <w:i/>
          <w:iCs/>
          <w:sz w:val="20"/>
          <w:szCs w:val="20"/>
        </w:rPr>
        <w:t>Op. Cit.</w:t>
      </w:r>
      <w:r>
        <w:rPr>
          <w:sz w:val="20"/>
          <w:szCs w:val="20"/>
        </w:rPr>
        <w:t xml:space="preserve"> </w:t>
      </w:r>
      <w:r w:rsidRPr="007B133D">
        <w:rPr>
          <w:b w:val="0"/>
          <w:bCs w:val="0"/>
          <w:sz w:val="20"/>
          <w:szCs w:val="20"/>
        </w:rPr>
        <w:t>p. 355.</w:t>
      </w:r>
    </w:p>
  </w:footnote>
  <w:footnote w:id="40">
    <w:p w14:paraId="1026E585" w14:textId="77777777" w:rsidR="00ED6932" w:rsidRPr="007B133D" w:rsidRDefault="00ED6932" w:rsidP="00157BA1">
      <w:pPr>
        <w:pStyle w:val="Ttulo1"/>
        <w:numPr>
          <w:ilvl w:val="0"/>
          <w:numId w:val="0"/>
        </w:numPr>
        <w:spacing w:line="240" w:lineRule="auto"/>
        <w:ind w:left="284" w:hanging="284"/>
        <w:rPr>
          <w:b w:val="0"/>
          <w:bCs w:val="0"/>
          <w:sz w:val="20"/>
          <w:szCs w:val="20"/>
        </w:rPr>
      </w:pPr>
      <w:r w:rsidRPr="007B133D">
        <w:rPr>
          <w:rStyle w:val="Refdenotaderodap"/>
          <w:rFonts w:eastAsia="Calibri"/>
          <w:b w:val="0"/>
          <w:bCs w:val="0"/>
          <w:sz w:val="20"/>
          <w:szCs w:val="20"/>
        </w:rPr>
        <w:footnoteRef/>
      </w:r>
      <w:r w:rsidRPr="007B133D">
        <w:rPr>
          <w:b w:val="0"/>
          <w:bCs w:val="0"/>
          <w:sz w:val="20"/>
          <w:szCs w:val="20"/>
        </w:rPr>
        <w:t xml:space="preserve"> BEVILÁQUA, Clóvis - </w:t>
      </w:r>
      <w:r w:rsidRPr="007B133D">
        <w:rPr>
          <w:sz w:val="20"/>
          <w:szCs w:val="20"/>
        </w:rPr>
        <w:t>Código Civil dos Estados Unidos do Brasil comentado.</w:t>
      </w:r>
      <w:r w:rsidRPr="007B133D">
        <w:rPr>
          <w:b w:val="0"/>
          <w:bCs w:val="0"/>
          <w:sz w:val="20"/>
          <w:szCs w:val="20"/>
        </w:rPr>
        <w:t xml:space="preserve"> Rio de Janeiro: Francisco Alves, 1953, p.332.</w:t>
      </w:r>
    </w:p>
  </w:footnote>
  <w:footnote w:id="41">
    <w:p w14:paraId="3F3FCDB3" w14:textId="77777777" w:rsidR="00ED6932" w:rsidRPr="007B133D" w:rsidRDefault="00ED6932" w:rsidP="00FB4A6B">
      <w:pPr>
        <w:pStyle w:val="Textodenotaderodap"/>
        <w:spacing w:line="240" w:lineRule="auto"/>
        <w:ind w:left="284" w:hanging="284"/>
        <w:rPr>
          <w:b w:val="0"/>
          <w:bCs/>
        </w:rPr>
      </w:pPr>
      <w:r w:rsidRPr="007B133D">
        <w:rPr>
          <w:rStyle w:val="Refdenotaderodap"/>
        </w:rPr>
        <w:footnoteRef/>
      </w:r>
      <w:r w:rsidRPr="007B133D">
        <w:t xml:space="preserve"> </w:t>
      </w:r>
      <w:r w:rsidRPr="007B133D">
        <w:rPr>
          <w:b w:val="0"/>
          <w:bCs/>
        </w:rPr>
        <w:t xml:space="preserve">CRUZ, </w:t>
      </w:r>
      <w:proofErr w:type="spellStart"/>
      <w:r w:rsidRPr="007B133D">
        <w:rPr>
          <w:b w:val="0"/>
          <w:bCs/>
        </w:rPr>
        <w:t>Rossana</w:t>
      </w:r>
      <w:proofErr w:type="spellEnd"/>
      <w:r w:rsidRPr="007B133D">
        <w:rPr>
          <w:b w:val="0"/>
          <w:bCs/>
        </w:rPr>
        <w:t xml:space="preserve"> </w:t>
      </w:r>
      <w:proofErr w:type="spellStart"/>
      <w:r w:rsidRPr="007B133D">
        <w:rPr>
          <w:b w:val="0"/>
          <w:bCs/>
        </w:rPr>
        <w:t>Martingo</w:t>
      </w:r>
      <w:proofErr w:type="spellEnd"/>
      <w:r w:rsidRPr="007B133D">
        <w:rPr>
          <w:b w:val="0"/>
          <w:bCs/>
        </w:rPr>
        <w:t xml:space="preserve"> – O estabelecimento da filiação e a Constituição da República Portuguesa – alguns pontos de discussão.  </w:t>
      </w:r>
      <w:r w:rsidRPr="007B133D">
        <w:t xml:space="preserve">Cadernos de </w:t>
      </w:r>
      <w:proofErr w:type="spellStart"/>
      <w:r w:rsidRPr="007B133D">
        <w:t>Dereito</w:t>
      </w:r>
      <w:proofErr w:type="spellEnd"/>
      <w:r w:rsidRPr="007B133D">
        <w:t xml:space="preserve"> </w:t>
      </w:r>
      <w:proofErr w:type="spellStart"/>
      <w:r w:rsidRPr="007B133D">
        <w:t>Actual</w:t>
      </w:r>
      <w:proofErr w:type="spellEnd"/>
      <w:r w:rsidRPr="007B133D">
        <w:t xml:space="preserve"> n</w:t>
      </w:r>
      <w:r w:rsidRPr="007B133D">
        <w:rPr>
          <w:rFonts w:cs="Times New Roman"/>
        </w:rPr>
        <w:t>°</w:t>
      </w:r>
      <w:r w:rsidRPr="007B133D">
        <w:t xml:space="preserve"> 5</w:t>
      </w:r>
      <w:r w:rsidRPr="007B133D">
        <w:rPr>
          <w:b w:val="0"/>
          <w:bCs/>
        </w:rPr>
        <w:t xml:space="preserve"> (2017), p.12. ISSN 2340-860X.</w:t>
      </w:r>
    </w:p>
  </w:footnote>
  <w:footnote w:id="42">
    <w:p w14:paraId="0DC31037" w14:textId="77777777" w:rsidR="00ED6932" w:rsidRPr="007B133D" w:rsidRDefault="00ED6932" w:rsidP="003519CE">
      <w:pPr>
        <w:pStyle w:val="Textodenotaderodap"/>
        <w:spacing w:line="240" w:lineRule="auto"/>
        <w:ind w:left="284" w:hanging="284"/>
        <w:rPr>
          <w:b w:val="0"/>
          <w:bCs/>
        </w:rPr>
      </w:pPr>
      <w:r w:rsidRPr="007B133D">
        <w:rPr>
          <w:rStyle w:val="Refdenotaderodap"/>
          <w:b w:val="0"/>
          <w:bCs/>
        </w:rPr>
        <w:footnoteRef/>
      </w:r>
      <w:r w:rsidRPr="007B133D">
        <w:rPr>
          <w:b w:val="0"/>
          <w:bCs/>
        </w:rPr>
        <w:t xml:space="preserve"> PINHEIRO, Jorge Duarte – </w:t>
      </w:r>
      <w:r w:rsidRPr="007B133D">
        <w:t>O direito da família contemporâneo</w:t>
      </w:r>
      <w:r w:rsidRPr="007B133D">
        <w:rPr>
          <w:b w:val="0"/>
          <w:bCs/>
        </w:rPr>
        <w:t xml:space="preserve">. Coimbra: Edições Almedina, 2016, p. 89. ISBN 978-972-406-763-6. </w:t>
      </w:r>
    </w:p>
  </w:footnote>
  <w:footnote w:id="43">
    <w:p w14:paraId="0F51CCB3" w14:textId="77777777" w:rsidR="00ED6932" w:rsidRPr="007B133D" w:rsidRDefault="00ED6932" w:rsidP="00157BA1">
      <w:pPr>
        <w:pStyle w:val="Ttulo1"/>
        <w:numPr>
          <w:ilvl w:val="0"/>
          <w:numId w:val="0"/>
        </w:numPr>
        <w:spacing w:line="240" w:lineRule="auto"/>
        <w:ind w:left="284" w:hanging="284"/>
        <w:rPr>
          <w:b w:val="0"/>
          <w:bCs w:val="0"/>
          <w:sz w:val="20"/>
          <w:szCs w:val="20"/>
        </w:rPr>
      </w:pPr>
      <w:r w:rsidRPr="007B133D">
        <w:rPr>
          <w:rStyle w:val="Refdenotaderodap"/>
          <w:rFonts w:eastAsia="Calibri"/>
          <w:b w:val="0"/>
          <w:bCs w:val="0"/>
          <w:sz w:val="20"/>
          <w:szCs w:val="20"/>
        </w:rPr>
        <w:footnoteRef/>
      </w:r>
      <w:r w:rsidRPr="007B133D">
        <w:rPr>
          <w:b w:val="0"/>
          <w:bCs w:val="0"/>
          <w:sz w:val="20"/>
          <w:szCs w:val="20"/>
        </w:rPr>
        <w:t xml:space="preserve"> Art. 227, Constituição Federal (...) §6º. Os filhos, havidos ou não da relação de casamento, ou por adoção terão os mesmos direitos e qualificações, proibidas quaisquer designações discriminatórias relativas à filiação. (...)</w:t>
      </w:r>
    </w:p>
  </w:footnote>
  <w:footnote w:id="44">
    <w:p w14:paraId="5026A3C7" w14:textId="77777777" w:rsidR="00ED6932" w:rsidRPr="007B133D" w:rsidRDefault="00ED6932" w:rsidP="00157BA1">
      <w:pPr>
        <w:pStyle w:val="Ttulo1"/>
        <w:numPr>
          <w:ilvl w:val="0"/>
          <w:numId w:val="0"/>
        </w:numPr>
        <w:spacing w:line="240" w:lineRule="auto"/>
        <w:ind w:left="284" w:hanging="284"/>
        <w:rPr>
          <w:b w:val="0"/>
          <w:bCs w:val="0"/>
          <w:sz w:val="20"/>
          <w:szCs w:val="20"/>
        </w:rPr>
      </w:pPr>
      <w:r w:rsidRPr="007B133D">
        <w:rPr>
          <w:rStyle w:val="Refdenotaderodap"/>
          <w:rFonts w:eastAsia="Calibri"/>
          <w:b w:val="0"/>
          <w:bCs w:val="0"/>
          <w:sz w:val="20"/>
          <w:szCs w:val="20"/>
        </w:rPr>
        <w:footnoteRef/>
      </w:r>
      <w:r w:rsidRPr="007B133D">
        <w:rPr>
          <w:b w:val="0"/>
          <w:bCs w:val="0"/>
          <w:sz w:val="20"/>
          <w:szCs w:val="20"/>
        </w:rPr>
        <w:t xml:space="preserve"> Art. 1.596, Código Civil. Os filhos, havidos ou não da relação de casamento, ou por adoção, terão os mesmos direitos e qualificações, proibidas quaisquer designações discriminatórias relativas à filiação.</w:t>
      </w:r>
    </w:p>
  </w:footnote>
  <w:footnote w:id="45">
    <w:p w14:paraId="7565DE55" w14:textId="19F6C0B2" w:rsidR="00ED6932" w:rsidRPr="007B133D" w:rsidRDefault="00ED6932" w:rsidP="00157BA1">
      <w:pPr>
        <w:pStyle w:val="Ttulo1"/>
        <w:numPr>
          <w:ilvl w:val="0"/>
          <w:numId w:val="0"/>
        </w:numPr>
        <w:spacing w:line="240" w:lineRule="auto"/>
        <w:ind w:left="284" w:hanging="284"/>
        <w:rPr>
          <w:b w:val="0"/>
          <w:bCs w:val="0"/>
          <w:sz w:val="20"/>
          <w:szCs w:val="20"/>
        </w:rPr>
      </w:pPr>
      <w:r w:rsidRPr="007B133D">
        <w:rPr>
          <w:rStyle w:val="Refdenotaderodap"/>
          <w:rFonts w:eastAsia="Calibri"/>
          <w:b w:val="0"/>
          <w:bCs w:val="0"/>
          <w:sz w:val="20"/>
          <w:szCs w:val="20"/>
        </w:rPr>
        <w:footnoteRef/>
      </w:r>
      <w:r w:rsidRPr="007B133D">
        <w:rPr>
          <w:b w:val="0"/>
          <w:bCs w:val="0"/>
          <w:sz w:val="20"/>
          <w:szCs w:val="20"/>
        </w:rPr>
        <w:t xml:space="preserve"> COELHO, Fabio </w:t>
      </w:r>
      <w:proofErr w:type="spellStart"/>
      <w:r w:rsidRPr="007B133D">
        <w:rPr>
          <w:b w:val="0"/>
          <w:bCs w:val="0"/>
          <w:sz w:val="20"/>
          <w:szCs w:val="20"/>
        </w:rPr>
        <w:t>Ulhoa</w:t>
      </w:r>
      <w:proofErr w:type="spellEnd"/>
      <w:r w:rsidRPr="007B133D">
        <w:rPr>
          <w:b w:val="0"/>
          <w:bCs w:val="0"/>
          <w:sz w:val="20"/>
          <w:szCs w:val="20"/>
        </w:rPr>
        <w:t xml:space="preserve"> – </w:t>
      </w:r>
      <w:r w:rsidRPr="007B133D">
        <w:rPr>
          <w:sz w:val="20"/>
          <w:szCs w:val="20"/>
        </w:rPr>
        <w:t>Curso de direito civil.</w:t>
      </w:r>
      <w:r w:rsidRPr="007B133D">
        <w:rPr>
          <w:b w:val="0"/>
          <w:bCs w:val="0"/>
          <w:sz w:val="20"/>
          <w:szCs w:val="20"/>
        </w:rPr>
        <w:t xml:space="preserve"> São Paulo: Saraiva, 2012, volume 5, p. 148.</w:t>
      </w:r>
    </w:p>
  </w:footnote>
  <w:footnote w:id="46">
    <w:p w14:paraId="600F694C" w14:textId="6ED05C50" w:rsidR="00ED6932" w:rsidRPr="007B133D" w:rsidRDefault="00ED6932" w:rsidP="00157BA1">
      <w:pPr>
        <w:pStyle w:val="Ttulo1"/>
        <w:numPr>
          <w:ilvl w:val="0"/>
          <w:numId w:val="0"/>
        </w:numPr>
        <w:spacing w:line="240" w:lineRule="auto"/>
        <w:ind w:left="284" w:hanging="284"/>
        <w:rPr>
          <w:b w:val="0"/>
          <w:bCs w:val="0"/>
          <w:sz w:val="20"/>
          <w:szCs w:val="20"/>
        </w:rPr>
      </w:pPr>
      <w:r w:rsidRPr="007B133D">
        <w:rPr>
          <w:rStyle w:val="Refdenotaderodap"/>
          <w:rFonts w:eastAsia="Calibri"/>
          <w:b w:val="0"/>
          <w:bCs w:val="0"/>
          <w:sz w:val="20"/>
          <w:szCs w:val="20"/>
        </w:rPr>
        <w:footnoteRef/>
      </w:r>
      <w:r w:rsidRPr="007B133D">
        <w:rPr>
          <w:b w:val="0"/>
          <w:bCs w:val="0"/>
          <w:sz w:val="20"/>
          <w:szCs w:val="20"/>
        </w:rPr>
        <w:t xml:space="preserve"> DIAS, Maria Berenice – </w:t>
      </w:r>
      <w:r w:rsidRPr="008575BC">
        <w:rPr>
          <w:i/>
          <w:iCs/>
          <w:sz w:val="20"/>
          <w:szCs w:val="20"/>
        </w:rPr>
        <w:t>Op. Cit.</w:t>
      </w:r>
      <w:r w:rsidRPr="007B133D">
        <w:rPr>
          <w:b w:val="0"/>
          <w:bCs w:val="0"/>
          <w:sz w:val="20"/>
          <w:szCs w:val="20"/>
        </w:rPr>
        <w:t xml:space="preserve"> p. 354.</w:t>
      </w:r>
    </w:p>
  </w:footnote>
  <w:footnote w:id="47">
    <w:p w14:paraId="4A4783B7" w14:textId="6100AB3C" w:rsidR="00ED6932" w:rsidRPr="007B133D" w:rsidRDefault="00ED6932" w:rsidP="00157BA1">
      <w:pPr>
        <w:pStyle w:val="Ttulo1"/>
        <w:numPr>
          <w:ilvl w:val="0"/>
          <w:numId w:val="0"/>
        </w:numPr>
        <w:spacing w:line="240" w:lineRule="auto"/>
        <w:ind w:left="284" w:hanging="284"/>
        <w:rPr>
          <w:b w:val="0"/>
          <w:bCs w:val="0"/>
          <w:sz w:val="20"/>
          <w:szCs w:val="20"/>
        </w:rPr>
      </w:pPr>
      <w:r w:rsidRPr="007B133D">
        <w:rPr>
          <w:rStyle w:val="Refdenotaderodap"/>
          <w:rFonts w:eastAsia="Calibri"/>
          <w:b w:val="0"/>
          <w:bCs w:val="0"/>
          <w:sz w:val="20"/>
          <w:szCs w:val="20"/>
        </w:rPr>
        <w:footnoteRef/>
      </w:r>
      <w:r w:rsidRPr="007B133D">
        <w:rPr>
          <w:b w:val="0"/>
          <w:bCs w:val="0"/>
          <w:sz w:val="20"/>
          <w:szCs w:val="20"/>
        </w:rPr>
        <w:t xml:space="preserve"> </w:t>
      </w:r>
      <w:r w:rsidRPr="00AA295E">
        <w:rPr>
          <w:b w:val="0"/>
          <w:bCs w:val="0"/>
          <w:i/>
          <w:iCs/>
          <w:sz w:val="20"/>
          <w:szCs w:val="20"/>
        </w:rPr>
        <w:t>Idem</w:t>
      </w:r>
      <w:r w:rsidRPr="007B133D">
        <w:rPr>
          <w:b w:val="0"/>
          <w:bCs w:val="0"/>
          <w:sz w:val="20"/>
          <w:szCs w:val="20"/>
        </w:rPr>
        <w:t xml:space="preserve"> – </w:t>
      </w:r>
      <w:r w:rsidRPr="008575BC">
        <w:rPr>
          <w:i/>
          <w:iCs/>
          <w:sz w:val="20"/>
          <w:szCs w:val="20"/>
        </w:rPr>
        <w:t>Op. Cit.</w:t>
      </w:r>
      <w:r w:rsidRPr="007B133D">
        <w:rPr>
          <w:b w:val="0"/>
          <w:bCs w:val="0"/>
          <w:sz w:val="20"/>
          <w:szCs w:val="20"/>
        </w:rPr>
        <w:t xml:space="preserve"> p. 358.</w:t>
      </w:r>
    </w:p>
  </w:footnote>
  <w:footnote w:id="48">
    <w:p w14:paraId="3494EE08" w14:textId="31221EF2" w:rsidR="00ED6932" w:rsidRPr="007B133D" w:rsidRDefault="00ED6932" w:rsidP="00157BA1">
      <w:pPr>
        <w:pStyle w:val="Ttulo1"/>
        <w:numPr>
          <w:ilvl w:val="0"/>
          <w:numId w:val="0"/>
        </w:numPr>
        <w:spacing w:line="240" w:lineRule="auto"/>
        <w:ind w:left="284" w:hanging="284"/>
        <w:rPr>
          <w:b w:val="0"/>
          <w:bCs w:val="0"/>
          <w:sz w:val="20"/>
          <w:szCs w:val="20"/>
        </w:rPr>
      </w:pPr>
      <w:r w:rsidRPr="007B133D">
        <w:rPr>
          <w:rStyle w:val="Refdenotaderodap"/>
          <w:rFonts w:eastAsia="Calibri"/>
          <w:b w:val="0"/>
          <w:bCs w:val="0"/>
          <w:sz w:val="20"/>
          <w:szCs w:val="20"/>
        </w:rPr>
        <w:footnoteRef/>
      </w:r>
      <w:r w:rsidRPr="007B133D">
        <w:rPr>
          <w:b w:val="0"/>
          <w:bCs w:val="0"/>
          <w:sz w:val="20"/>
          <w:szCs w:val="20"/>
        </w:rPr>
        <w:t xml:space="preserve"> COELHO, Fabio </w:t>
      </w:r>
      <w:proofErr w:type="spellStart"/>
      <w:r w:rsidRPr="007B133D">
        <w:rPr>
          <w:b w:val="0"/>
          <w:bCs w:val="0"/>
          <w:sz w:val="20"/>
          <w:szCs w:val="20"/>
        </w:rPr>
        <w:t>Ulhoa</w:t>
      </w:r>
      <w:proofErr w:type="spellEnd"/>
      <w:r w:rsidRPr="007B133D">
        <w:rPr>
          <w:b w:val="0"/>
          <w:bCs w:val="0"/>
          <w:sz w:val="20"/>
          <w:szCs w:val="20"/>
        </w:rPr>
        <w:t xml:space="preserve"> – </w:t>
      </w:r>
      <w:r w:rsidRPr="008575BC">
        <w:rPr>
          <w:i/>
          <w:iCs/>
          <w:sz w:val="20"/>
          <w:szCs w:val="20"/>
        </w:rPr>
        <w:t>Op. Cit.</w:t>
      </w:r>
      <w:r w:rsidRPr="007B133D">
        <w:rPr>
          <w:b w:val="0"/>
          <w:bCs w:val="0"/>
          <w:sz w:val="20"/>
          <w:szCs w:val="20"/>
        </w:rPr>
        <w:t xml:space="preserve"> p. 177-179.</w:t>
      </w:r>
    </w:p>
  </w:footnote>
  <w:footnote w:id="49">
    <w:p w14:paraId="507C679F" w14:textId="3F930E05" w:rsidR="00ED6932" w:rsidRPr="007B133D" w:rsidRDefault="00ED6932" w:rsidP="00157BA1">
      <w:pPr>
        <w:pStyle w:val="Ttulo1"/>
        <w:numPr>
          <w:ilvl w:val="0"/>
          <w:numId w:val="0"/>
        </w:numPr>
        <w:spacing w:line="240" w:lineRule="auto"/>
        <w:ind w:left="284" w:hanging="284"/>
        <w:rPr>
          <w:b w:val="0"/>
          <w:bCs w:val="0"/>
          <w:sz w:val="20"/>
          <w:szCs w:val="20"/>
        </w:rPr>
      </w:pPr>
      <w:r w:rsidRPr="007B133D">
        <w:rPr>
          <w:rStyle w:val="Refdenotaderodap"/>
          <w:rFonts w:eastAsia="Calibri"/>
          <w:b w:val="0"/>
          <w:bCs w:val="0"/>
          <w:sz w:val="20"/>
          <w:szCs w:val="20"/>
        </w:rPr>
        <w:footnoteRef/>
      </w:r>
      <w:r w:rsidRPr="007B133D">
        <w:rPr>
          <w:b w:val="0"/>
          <w:bCs w:val="0"/>
          <w:sz w:val="20"/>
          <w:szCs w:val="20"/>
        </w:rPr>
        <w:t xml:space="preserve"> COELHO, Fabio </w:t>
      </w:r>
      <w:proofErr w:type="spellStart"/>
      <w:r w:rsidRPr="007B133D">
        <w:rPr>
          <w:b w:val="0"/>
          <w:bCs w:val="0"/>
          <w:sz w:val="20"/>
          <w:szCs w:val="20"/>
        </w:rPr>
        <w:t>Ulhoa</w:t>
      </w:r>
      <w:proofErr w:type="spellEnd"/>
      <w:r w:rsidRPr="007B133D">
        <w:rPr>
          <w:b w:val="0"/>
          <w:bCs w:val="0"/>
          <w:sz w:val="20"/>
          <w:szCs w:val="20"/>
        </w:rPr>
        <w:t xml:space="preserve"> – </w:t>
      </w:r>
      <w:r w:rsidRPr="00B76DD5">
        <w:rPr>
          <w:i/>
          <w:iCs/>
          <w:sz w:val="20"/>
          <w:szCs w:val="20"/>
        </w:rPr>
        <w:t>Op. Cit.</w:t>
      </w:r>
      <w:r w:rsidRPr="007B133D">
        <w:rPr>
          <w:b w:val="0"/>
          <w:bCs w:val="0"/>
          <w:sz w:val="20"/>
          <w:szCs w:val="20"/>
        </w:rPr>
        <w:t xml:space="preserve"> p. 177-179.</w:t>
      </w:r>
    </w:p>
  </w:footnote>
  <w:footnote w:id="50">
    <w:p w14:paraId="4FA019E0" w14:textId="77777777" w:rsidR="00ED6932" w:rsidRPr="007B133D" w:rsidRDefault="00ED6932" w:rsidP="00157BA1">
      <w:pPr>
        <w:pStyle w:val="Ttulo1"/>
        <w:numPr>
          <w:ilvl w:val="0"/>
          <w:numId w:val="0"/>
        </w:numPr>
        <w:spacing w:line="240" w:lineRule="auto"/>
        <w:ind w:left="284" w:hanging="284"/>
        <w:rPr>
          <w:b w:val="0"/>
          <w:bCs w:val="0"/>
          <w:sz w:val="20"/>
          <w:szCs w:val="20"/>
        </w:rPr>
      </w:pPr>
      <w:r w:rsidRPr="007B133D">
        <w:rPr>
          <w:rStyle w:val="Refdenotaderodap"/>
          <w:rFonts w:eastAsia="Calibri"/>
          <w:b w:val="0"/>
          <w:bCs w:val="0"/>
          <w:sz w:val="20"/>
          <w:szCs w:val="20"/>
        </w:rPr>
        <w:footnoteRef/>
      </w:r>
      <w:r w:rsidRPr="007B133D">
        <w:rPr>
          <w:b w:val="0"/>
          <w:bCs w:val="0"/>
          <w:sz w:val="20"/>
          <w:szCs w:val="20"/>
        </w:rPr>
        <w:t xml:space="preserve"> FARIAS, Cristiano Chaves de; ROSENVALD, Nelson – </w:t>
      </w:r>
      <w:r w:rsidRPr="007B133D">
        <w:rPr>
          <w:sz w:val="20"/>
          <w:szCs w:val="20"/>
        </w:rPr>
        <w:t>Direito das famílias de acordo com a Lei nº 11.340/06 – Lei Maria da Penha e com a Lei nº 11.441/06 – Lei da Separação, Divórcio e Inventário Extrajudiciais.</w:t>
      </w:r>
      <w:r w:rsidRPr="007B133D">
        <w:rPr>
          <w:b w:val="0"/>
          <w:bCs w:val="0"/>
          <w:sz w:val="20"/>
          <w:szCs w:val="20"/>
        </w:rPr>
        <w:t xml:space="preserve"> Rio de Janeiro: Editora </w:t>
      </w:r>
      <w:proofErr w:type="spellStart"/>
      <w:r w:rsidRPr="007B133D">
        <w:rPr>
          <w:b w:val="0"/>
          <w:bCs w:val="0"/>
          <w:sz w:val="20"/>
          <w:szCs w:val="20"/>
        </w:rPr>
        <w:t>Lumen</w:t>
      </w:r>
      <w:proofErr w:type="spellEnd"/>
      <w:r w:rsidRPr="007B133D">
        <w:rPr>
          <w:b w:val="0"/>
          <w:bCs w:val="0"/>
          <w:sz w:val="20"/>
          <w:szCs w:val="20"/>
        </w:rPr>
        <w:t xml:space="preserve"> Juris, 2008.</w:t>
      </w:r>
    </w:p>
  </w:footnote>
  <w:footnote w:id="51">
    <w:p w14:paraId="4C0D7B6B" w14:textId="77777777" w:rsidR="00ED6932" w:rsidRPr="007B133D" w:rsidRDefault="00ED6932" w:rsidP="00214F89">
      <w:pPr>
        <w:pStyle w:val="Textodenotaderodap"/>
        <w:spacing w:line="240" w:lineRule="auto"/>
        <w:ind w:left="284" w:hanging="284"/>
        <w:rPr>
          <w:b w:val="0"/>
          <w:bCs/>
        </w:rPr>
      </w:pPr>
      <w:r w:rsidRPr="007B133D">
        <w:rPr>
          <w:rStyle w:val="Refdenotaderodap"/>
          <w:b w:val="0"/>
          <w:bCs/>
        </w:rPr>
        <w:footnoteRef/>
      </w:r>
      <w:r w:rsidRPr="007B133D">
        <w:rPr>
          <w:b w:val="0"/>
          <w:bCs/>
        </w:rPr>
        <w:t xml:space="preserve">  VASCONCELOS, Oliveira Relat. – Acórdão do Supremo Tribunal de Justiça, processo n</w:t>
      </w:r>
      <w:r w:rsidRPr="007B133D">
        <w:rPr>
          <w:rFonts w:cs="Times New Roman"/>
          <w:b w:val="0"/>
          <w:bCs/>
        </w:rPr>
        <w:t>°</w:t>
      </w:r>
      <w:r w:rsidRPr="007B133D">
        <w:rPr>
          <w:b w:val="0"/>
          <w:bCs/>
        </w:rPr>
        <w:t xml:space="preserve"> 13262/14.7T8LSB-</w:t>
      </w:r>
      <w:proofErr w:type="gramStart"/>
      <w:r w:rsidRPr="007B133D">
        <w:rPr>
          <w:b w:val="0"/>
          <w:bCs/>
        </w:rPr>
        <w:t>A.L</w:t>
      </w:r>
      <w:proofErr w:type="gramEnd"/>
      <w:r w:rsidRPr="007B133D">
        <w:rPr>
          <w:b w:val="0"/>
          <w:bCs/>
        </w:rPr>
        <w:t>1.S1, 2</w:t>
      </w:r>
      <w:r w:rsidRPr="007B133D">
        <w:rPr>
          <w:rFonts w:cs="Times New Roman"/>
          <w:b w:val="0"/>
          <w:bCs/>
        </w:rPr>
        <w:t>ª</w:t>
      </w:r>
      <w:r w:rsidRPr="007B133D">
        <w:rPr>
          <w:b w:val="0"/>
          <w:bCs/>
        </w:rPr>
        <w:t xml:space="preserve"> Secção, de 2 de junho de 2016. </w:t>
      </w:r>
      <w:r w:rsidRPr="007B133D">
        <w:rPr>
          <w:rFonts w:cs="Times New Roman"/>
          <w:b w:val="0"/>
          <w:bCs/>
        </w:rPr>
        <w:t>[Em linha]. [</w:t>
      </w:r>
      <w:proofErr w:type="spellStart"/>
      <w:r w:rsidRPr="007B133D">
        <w:rPr>
          <w:rFonts w:cs="Times New Roman"/>
          <w:b w:val="0"/>
          <w:bCs/>
        </w:rPr>
        <w:t>Consult</w:t>
      </w:r>
      <w:proofErr w:type="spellEnd"/>
      <w:r w:rsidRPr="007B133D">
        <w:rPr>
          <w:rFonts w:cs="Times New Roman"/>
          <w:b w:val="0"/>
          <w:bCs/>
        </w:rPr>
        <w:t>. 17 dez. 2019]. Disponível em</w:t>
      </w:r>
      <w:r w:rsidRPr="007B133D">
        <w:rPr>
          <w:b w:val="0"/>
          <w:bCs/>
        </w:rPr>
        <w:t xml:space="preserve"> http://www.dgsi.pt/jstj.nsf/954f0ce6ad9dd8b980256b5f003fa814/dbb52f22d081c6cc80257fc7002fdfa5?OpenDocument&amp;Highlight=0,13262/14.7T8LSB-A.L1.S1.</w:t>
      </w:r>
    </w:p>
  </w:footnote>
  <w:footnote w:id="52">
    <w:p w14:paraId="3C4497EE" w14:textId="77777777" w:rsidR="00ED6932" w:rsidRPr="007B133D" w:rsidRDefault="00ED6932" w:rsidP="002F403D">
      <w:pPr>
        <w:pStyle w:val="Textodenotaderodap"/>
        <w:spacing w:line="240" w:lineRule="auto"/>
        <w:ind w:left="284" w:hanging="284"/>
        <w:rPr>
          <w:b w:val="0"/>
          <w:bCs/>
        </w:rPr>
      </w:pPr>
      <w:r w:rsidRPr="007B133D">
        <w:rPr>
          <w:rStyle w:val="Refdenotaderodap"/>
          <w:b w:val="0"/>
          <w:bCs/>
        </w:rPr>
        <w:footnoteRef/>
      </w:r>
      <w:r w:rsidRPr="007B133D">
        <w:rPr>
          <w:b w:val="0"/>
          <w:bCs/>
        </w:rPr>
        <w:t xml:space="preserve"> AMARAL, Vitor Relat. – Acórdão do Tribunal da Relação de Coimbra, processo n</w:t>
      </w:r>
      <w:r w:rsidRPr="007B133D">
        <w:rPr>
          <w:rFonts w:cs="Times New Roman"/>
          <w:b w:val="0"/>
          <w:bCs/>
        </w:rPr>
        <w:t>°</w:t>
      </w:r>
      <w:r w:rsidRPr="007B133D">
        <w:rPr>
          <w:b w:val="0"/>
          <w:bCs/>
        </w:rPr>
        <w:t xml:space="preserve"> 5525/</w:t>
      </w:r>
      <w:proofErr w:type="gramStart"/>
      <w:r w:rsidRPr="007B133D">
        <w:rPr>
          <w:b w:val="0"/>
          <w:bCs/>
        </w:rPr>
        <w:t>16.3T8CR.C</w:t>
      </w:r>
      <w:proofErr w:type="gramEnd"/>
      <w:r w:rsidRPr="007B133D">
        <w:rPr>
          <w:b w:val="0"/>
          <w:bCs/>
        </w:rPr>
        <w:t xml:space="preserve">1, de 6 de fevereiro de 2018. </w:t>
      </w:r>
      <w:r w:rsidRPr="007B133D">
        <w:rPr>
          <w:rFonts w:cs="Times New Roman"/>
          <w:b w:val="0"/>
          <w:bCs/>
        </w:rPr>
        <w:t>[Em linha]. [</w:t>
      </w:r>
      <w:proofErr w:type="spellStart"/>
      <w:r w:rsidRPr="007B133D">
        <w:rPr>
          <w:rFonts w:cs="Times New Roman"/>
          <w:b w:val="0"/>
          <w:bCs/>
        </w:rPr>
        <w:t>Consult</w:t>
      </w:r>
      <w:proofErr w:type="spellEnd"/>
      <w:r w:rsidRPr="007B133D">
        <w:rPr>
          <w:rFonts w:cs="Times New Roman"/>
          <w:b w:val="0"/>
          <w:bCs/>
        </w:rPr>
        <w:t xml:space="preserve">. 17 dez. 2019]. Disponível em </w:t>
      </w:r>
      <w:r w:rsidRPr="007B133D">
        <w:rPr>
          <w:b w:val="0"/>
          <w:bCs/>
        </w:rPr>
        <w:t>http://www.dgsi.pt/jtrc.nsf/8fe0e606d8f56b22802576c0005637dc/49bbb7753413416d8025824a0050f1f6?OpenDocument.</w:t>
      </w:r>
    </w:p>
  </w:footnote>
  <w:footnote w:id="53">
    <w:p w14:paraId="2E855A0E" w14:textId="31615887" w:rsidR="00ED6932" w:rsidRPr="007B133D" w:rsidRDefault="00ED6932" w:rsidP="00214F89">
      <w:pPr>
        <w:pStyle w:val="Textodenotaderodap"/>
        <w:spacing w:line="240" w:lineRule="auto"/>
        <w:ind w:left="284" w:hanging="284"/>
      </w:pPr>
      <w:r w:rsidRPr="007B133D">
        <w:rPr>
          <w:rStyle w:val="Refdenotaderodap"/>
        </w:rPr>
        <w:footnoteRef/>
      </w:r>
      <w:r w:rsidRPr="007B133D">
        <w:t xml:space="preserve"> </w:t>
      </w:r>
      <w:r w:rsidRPr="007B133D">
        <w:rPr>
          <w:b w:val="0"/>
          <w:bCs/>
        </w:rPr>
        <w:t xml:space="preserve">KASHIWAGI, Erika Kazumi – </w:t>
      </w:r>
      <w:r w:rsidRPr="001E3A29">
        <w:rPr>
          <w:i/>
          <w:iCs/>
        </w:rPr>
        <w:t>Op. Cit.</w:t>
      </w:r>
      <w:r w:rsidRPr="007B133D">
        <w:rPr>
          <w:b w:val="0"/>
          <w:bCs/>
        </w:rPr>
        <w:t xml:space="preserve"> p. 274.</w:t>
      </w:r>
    </w:p>
  </w:footnote>
  <w:footnote w:id="54">
    <w:p w14:paraId="4CDCA7B2" w14:textId="77777777" w:rsidR="00ED6932" w:rsidRPr="007B133D" w:rsidRDefault="00ED6932" w:rsidP="00157BA1">
      <w:pPr>
        <w:pStyle w:val="Ttulo1"/>
        <w:numPr>
          <w:ilvl w:val="0"/>
          <w:numId w:val="0"/>
        </w:numPr>
        <w:spacing w:line="240" w:lineRule="auto"/>
        <w:ind w:left="284" w:hanging="284"/>
        <w:rPr>
          <w:b w:val="0"/>
          <w:bCs w:val="0"/>
          <w:sz w:val="20"/>
          <w:szCs w:val="20"/>
        </w:rPr>
      </w:pPr>
      <w:r w:rsidRPr="007B133D">
        <w:rPr>
          <w:rStyle w:val="Refdenotaderodap"/>
          <w:rFonts w:eastAsia="Calibri"/>
          <w:b w:val="0"/>
          <w:bCs w:val="0"/>
          <w:sz w:val="20"/>
          <w:szCs w:val="20"/>
        </w:rPr>
        <w:footnoteRef/>
      </w:r>
      <w:r w:rsidRPr="007B133D">
        <w:rPr>
          <w:b w:val="0"/>
          <w:bCs w:val="0"/>
          <w:sz w:val="20"/>
          <w:szCs w:val="20"/>
        </w:rPr>
        <w:t xml:space="preserve"> MADALENO, Rolf – Filiação sucessória. </w:t>
      </w:r>
      <w:r w:rsidRPr="007B133D">
        <w:rPr>
          <w:sz w:val="20"/>
          <w:szCs w:val="20"/>
        </w:rPr>
        <w:t>Revista Brasileira de direito das famílias e sucessões</w:t>
      </w:r>
      <w:r w:rsidRPr="007B133D">
        <w:rPr>
          <w:b w:val="0"/>
          <w:bCs w:val="0"/>
          <w:sz w:val="20"/>
          <w:szCs w:val="20"/>
        </w:rPr>
        <w:t xml:space="preserve"> (dez/</w:t>
      </w:r>
      <w:proofErr w:type="spellStart"/>
      <w:r w:rsidRPr="007B133D">
        <w:rPr>
          <w:b w:val="0"/>
          <w:bCs w:val="0"/>
          <w:sz w:val="20"/>
          <w:szCs w:val="20"/>
        </w:rPr>
        <w:t>jan</w:t>
      </w:r>
      <w:proofErr w:type="spellEnd"/>
      <w:r w:rsidRPr="007B133D">
        <w:rPr>
          <w:b w:val="0"/>
          <w:bCs w:val="0"/>
          <w:sz w:val="20"/>
          <w:szCs w:val="20"/>
        </w:rPr>
        <w:t xml:space="preserve"> 2008). Porto Alegre: Editora Magister, p. 26.</w:t>
      </w:r>
    </w:p>
  </w:footnote>
  <w:footnote w:id="55">
    <w:p w14:paraId="481A44FC" w14:textId="2FC510F3" w:rsidR="00ED6932" w:rsidRPr="007B133D" w:rsidRDefault="00ED6932" w:rsidP="00157BA1">
      <w:pPr>
        <w:pStyle w:val="Ttulo1"/>
        <w:numPr>
          <w:ilvl w:val="0"/>
          <w:numId w:val="0"/>
        </w:numPr>
        <w:spacing w:line="240" w:lineRule="auto"/>
        <w:ind w:left="284" w:hanging="284"/>
        <w:rPr>
          <w:b w:val="0"/>
          <w:bCs w:val="0"/>
          <w:sz w:val="20"/>
          <w:szCs w:val="20"/>
        </w:rPr>
      </w:pPr>
      <w:r w:rsidRPr="007B133D">
        <w:rPr>
          <w:rStyle w:val="Refdenotaderodap"/>
          <w:rFonts w:eastAsia="Calibri"/>
          <w:b w:val="0"/>
          <w:bCs w:val="0"/>
          <w:sz w:val="20"/>
          <w:szCs w:val="20"/>
        </w:rPr>
        <w:footnoteRef/>
      </w:r>
      <w:r w:rsidRPr="007B133D">
        <w:rPr>
          <w:b w:val="0"/>
          <w:bCs w:val="0"/>
          <w:sz w:val="20"/>
          <w:szCs w:val="20"/>
        </w:rPr>
        <w:t xml:space="preserve"> </w:t>
      </w:r>
      <w:r w:rsidRPr="00AA295E">
        <w:rPr>
          <w:b w:val="0"/>
          <w:bCs w:val="0"/>
          <w:i/>
          <w:iCs/>
          <w:sz w:val="20"/>
          <w:szCs w:val="20"/>
        </w:rPr>
        <w:t>Idem</w:t>
      </w:r>
      <w:r w:rsidRPr="007B133D">
        <w:rPr>
          <w:b w:val="0"/>
          <w:bCs w:val="0"/>
          <w:sz w:val="20"/>
          <w:szCs w:val="20"/>
        </w:rPr>
        <w:t xml:space="preserve"> – </w:t>
      </w:r>
      <w:r w:rsidRPr="007B133D">
        <w:rPr>
          <w:sz w:val="20"/>
          <w:szCs w:val="20"/>
        </w:rPr>
        <w:t>Novos horizontes ao direito de família</w:t>
      </w:r>
      <w:r w:rsidRPr="007B133D">
        <w:rPr>
          <w:b w:val="0"/>
          <w:bCs w:val="0"/>
          <w:sz w:val="20"/>
          <w:szCs w:val="20"/>
        </w:rPr>
        <w:t>. Rio de Janeiro: Forense, 2010, p. 27.</w:t>
      </w:r>
    </w:p>
  </w:footnote>
  <w:footnote w:id="56">
    <w:p w14:paraId="32D551E9" w14:textId="77777777" w:rsidR="00ED6932" w:rsidRPr="007B133D" w:rsidRDefault="00ED6932" w:rsidP="00157BA1">
      <w:pPr>
        <w:pStyle w:val="Ttulo1"/>
        <w:numPr>
          <w:ilvl w:val="0"/>
          <w:numId w:val="0"/>
        </w:numPr>
        <w:spacing w:line="240" w:lineRule="auto"/>
        <w:ind w:left="284" w:hanging="284"/>
        <w:rPr>
          <w:b w:val="0"/>
          <w:bCs w:val="0"/>
          <w:sz w:val="20"/>
          <w:szCs w:val="20"/>
        </w:rPr>
      </w:pPr>
      <w:r w:rsidRPr="007B133D">
        <w:rPr>
          <w:rStyle w:val="Refdenotaderodap"/>
          <w:rFonts w:eastAsia="Calibri"/>
          <w:b w:val="0"/>
          <w:bCs w:val="0"/>
          <w:sz w:val="20"/>
          <w:szCs w:val="20"/>
        </w:rPr>
        <w:footnoteRef/>
      </w:r>
      <w:r w:rsidRPr="007B133D">
        <w:rPr>
          <w:b w:val="0"/>
          <w:bCs w:val="0"/>
          <w:sz w:val="20"/>
          <w:szCs w:val="20"/>
        </w:rPr>
        <w:t xml:space="preserve"> PEREIRA, Rodrigo da Cunha – Famílias ensambladas e parentalidade socioafetivas: a propósito da sentença do Tribunal Constitucional de 30.11.2007. </w:t>
      </w:r>
      <w:r w:rsidRPr="007B133D">
        <w:rPr>
          <w:sz w:val="20"/>
          <w:szCs w:val="20"/>
        </w:rPr>
        <w:t>Revista Brasileira de Direito das Famílias e Sucessões.</w:t>
      </w:r>
      <w:r w:rsidRPr="007B133D">
        <w:rPr>
          <w:b w:val="0"/>
          <w:bCs w:val="0"/>
          <w:sz w:val="20"/>
          <w:szCs w:val="20"/>
        </w:rPr>
        <w:t xml:space="preserve"> Porto Alegre: Editora Magister, volume 7, n° 10, 01 </w:t>
      </w:r>
      <w:proofErr w:type="spellStart"/>
      <w:r w:rsidRPr="007B133D">
        <w:rPr>
          <w:b w:val="0"/>
          <w:bCs w:val="0"/>
          <w:sz w:val="20"/>
          <w:szCs w:val="20"/>
        </w:rPr>
        <w:t>jan</w:t>
      </w:r>
      <w:proofErr w:type="spellEnd"/>
      <w:r w:rsidRPr="007B133D">
        <w:rPr>
          <w:b w:val="0"/>
          <w:bCs w:val="0"/>
          <w:sz w:val="20"/>
          <w:szCs w:val="20"/>
        </w:rPr>
        <w:t xml:space="preserve"> 2009, p. 91-92.</w:t>
      </w:r>
    </w:p>
  </w:footnote>
  <w:footnote w:id="57">
    <w:p w14:paraId="3CB433BB" w14:textId="77777777" w:rsidR="00ED6932" w:rsidRPr="007B133D" w:rsidRDefault="00ED6932" w:rsidP="00152DF7">
      <w:pPr>
        <w:pStyle w:val="Textodenotaderodap"/>
        <w:spacing w:line="240" w:lineRule="auto"/>
        <w:ind w:left="284" w:hanging="284"/>
        <w:rPr>
          <w:b w:val="0"/>
          <w:bCs/>
        </w:rPr>
      </w:pPr>
      <w:r w:rsidRPr="007B133D">
        <w:rPr>
          <w:rStyle w:val="Refdenotaderodap"/>
          <w:b w:val="0"/>
          <w:bCs/>
        </w:rPr>
        <w:footnoteRef/>
      </w:r>
      <w:r w:rsidRPr="007B133D">
        <w:rPr>
          <w:b w:val="0"/>
          <w:bCs/>
        </w:rPr>
        <w:t xml:space="preserve"> CAVALCANTI, Camilla de </w:t>
      </w:r>
      <w:proofErr w:type="spellStart"/>
      <w:r w:rsidRPr="007B133D">
        <w:rPr>
          <w:b w:val="0"/>
          <w:bCs/>
        </w:rPr>
        <w:t>Araujo</w:t>
      </w:r>
      <w:proofErr w:type="spellEnd"/>
      <w:r w:rsidRPr="007B133D">
        <w:rPr>
          <w:b w:val="0"/>
          <w:bCs/>
        </w:rPr>
        <w:t xml:space="preserve"> – </w:t>
      </w:r>
      <w:r w:rsidRPr="007B133D">
        <w:t>A Constituição e a dignidade humana na tutela das famílias pós-modernas.</w:t>
      </w:r>
      <w:r w:rsidRPr="007B133D">
        <w:rPr>
          <w:b w:val="0"/>
          <w:bCs/>
        </w:rPr>
        <w:t xml:space="preserve"> Coimbra: Universidade de Coimbra, 2014. 137fls. Dissertação de Mestrado em Direito, p. 94.</w:t>
      </w:r>
    </w:p>
  </w:footnote>
  <w:footnote w:id="58">
    <w:p w14:paraId="68316FD6" w14:textId="77777777" w:rsidR="00ED6932" w:rsidRPr="007B133D" w:rsidRDefault="00ED6932" w:rsidP="00157BA1">
      <w:pPr>
        <w:pStyle w:val="Ttulo1"/>
        <w:numPr>
          <w:ilvl w:val="0"/>
          <w:numId w:val="0"/>
        </w:numPr>
        <w:spacing w:line="240" w:lineRule="auto"/>
        <w:ind w:left="284" w:hanging="284"/>
        <w:rPr>
          <w:b w:val="0"/>
          <w:bCs w:val="0"/>
          <w:sz w:val="20"/>
          <w:szCs w:val="20"/>
        </w:rPr>
      </w:pPr>
      <w:r w:rsidRPr="007B133D">
        <w:rPr>
          <w:rStyle w:val="Refdenotaderodap"/>
          <w:rFonts w:eastAsia="Calibri"/>
          <w:b w:val="0"/>
          <w:bCs w:val="0"/>
          <w:sz w:val="20"/>
          <w:szCs w:val="20"/>
        </w:rPr>
        <w:footnoteRef/>
      </w:r>
      <w:r w:rsidRPr="007B133D">
        <w:rPr>
          <w:b w:val="0"/>
          <w:bCs w:val="0"/>
          <w:sz w:val="20"/>
          <w:szCs w:val="20"/>
        </w:rPr>
        <w:t xml:space="preserve"> PAULO, Beatrice Marinho – A relação fraterna nas novas configurações familiares: Vínculo </w:t>
      </w:r>
      <w:proofErr w:type="spellStart"/>
      <w:r w:rsidRPr="007B133D">
        <w:rPr>
          <w:b w:val="0"/>
          <w:bCs w:val="0"/>
          <w:sz w:val="20"/>
          <w:szCs w:val="20"/>
        </w:rPr>
        <w:t>psicossocioafetivo</w:t>
      </w:r>
      <w:proofErr w:type="spellEnd"/>
      <w:r w:rsidRPr="007B133D">
        <w:rPr>
          <w:b w:val="0"/>
          <w:bCs w:val="0"/>
          <w:sz w:val="20"/>
          <w:szCs w:val="20"/>
        </w:rPr>
        <w:t xml:space="preserve">. </w:t>
      </w:r>
      <w:r w:rsidRPr="007B133D">
        <w:rPr>
          <w:sz w:val="20"/>
          <w:szCs w:val="20"/>
        </w:rPr>
        <w:t>Revista Brasileira de Direito das Famílias e Sucessões.</w:t>
      </w:r>
      <w:r w:rsidRPr="007B133D">
        <w:rPr>
          <w:b w:val="0"/>
          <w:bCs w:val="0"/>
          <w:sz w:val="20"/>
          <w:szCs w:val="20"/>
        </w:rPr>
        <w:t xml:space="preserve"> Porto Alegre: Editora Magister, volume 7, n° 8, 01 </w:t>
      </w:r>
      <w:proofErr w:type="spellStart"/>
      <w:r w:rsidRPr="007B133D">
        <w:rPr>
          <w:b w:val="0"/>
          <w:bCs w:val="0"/>
          <w:sz w:val="20"/>
          <w:szCs w:val="20"/>
        </w:rPr>
        <w:t>fev</w:t>
      </w:r>
      <w:proofErr w:type="spellEnd"/>
      <w:r w:rsidRPr="007B133D">
        <w:rPr>
          <w:b w:val="0"/>
          <w:bCs w:val="0"/>
          <w:sz w:val="20"/>
          <w:szCs w:val="20"/>
        </w:rPr>
        <w:t>/mar 2009, p. 12.</w:t>
      </w:r>
    </w:p>
  </w:footnote>
  <w:footnote w:id="59">
    <w:p w14:paraId="4B9C5BF4" w14:textId="77777777" w:rsidR="00ED6932" w:rsidRPr="007B133D" w:rsidRDefault="00ED6932" w:rsidP="00157BA1">
      <w:pPr>
        <w:pStyle w:val="Ttulo1"/>
        <w:numPr>
          <w:ilvl w:val="0"/>
          <w:numId w:val="0"/>
        </w:numPr>
        <w:spacing w:line="240" w:lineRule="auto"/>
        <w:ind w:left="284" w:hanging="284"/>
        <w:rPr>
          <w:b w:val="0"/>
          <w:bCs w:val="0"/>
          <w:sz w:val="20"/>
          <w:szCs w:val="20"/>
        </w:rPr>
      </w:pPr>
      <w:r w:rsidRPr="007B133D">
        <w:rPr>
          <w:rStyle w:val="Refdenotaderodap"/>
          <w:rFonts w:eastAsia="Calibri"/>
          <w:b w:val="0"/>
          <w:bCs w:val="0"/>
          <w:sz w:val="20"/>
          <w:szCs w:val="20"/>
        </w:rPr>
        <w:footnoteRef/>
      </w:r>
      <w:r w:rsidRPr="007B133D">
        <w:rPr>
          <w:b w:val="0"/>
          <w:bCs w:val="0"/>
          <w:sz w:val="20"/>
          <w:szCs w:val="20"/>
        </w:rPr>
        <w:t xml:space="preserve"> BARBOZA, Heloisa Helena – Efeitos jurídicos do parentesco socioafetivo. </w:t>
      </w:r>
      <w:r w:rsidRPr="007B133D">
        <w:rPr>
          <w:sz w:val="20"/>
          <w:szCs w:val="20"/>
        </w:rPr>
        <w:t>Revista Brasileira de Direito Famílias e Sucessões.</w:t>
      </w:r>
      <w:r w:rsidRPr="007B133D">
        <w:rPr>
          <w:b w:val="0"/>
          <w:bCs w:val="0"/>
          <w:sz w:val="20"/>
          <w:szCs w:val="20"/>
        </w:rPr>
        <w:t xml:space="preserve"> Porto Alegre: Editora Magister, volume 7, n° 9, 01 </w:t>
      </w:r>
      <w:proofErr w:type="spellStart"/>
      <w:r w:rsidRPr="007B133D">
        <w:rPr>
          <w:b w:val="0"/>
          <w:bCs w:val="0"/>
          <w:sz w:val="20"/>
          <w:szCs w:val="20"/>
        </w:rPr>
        <w:t>abr</w:t>
      </w:r>
      <w:proofErr w:type="spellEnd"/>
      <w:r w:rsidRPr="007B133D">
        <w:rPr>
          <w:b w:val="0"/>
          <w:bCs w:val="0"/>
          <w:sz w:val="20"/>
          <w:szCs w:val="20"/>
        </w:rPr>
        <w:t>/maio 2009, p. 28-30.</w:t>
      </w:r>
    </w:p>
  </w:footnote>
  <w:footnote w:id="60">
    <w:p w14:paraId="4880791B" w14:textId="5478A578" w:rsidR="00ED6932" w:rsidRPr="007B133D" w:rsidRDefault="00ED6932" w:rsidP="00157BA1">
      <w:pPr>
        <w:pStyle w:val="Ttulo1"/>
        <w:numPr>
          <w:ilvl w:val="0"/>
          <w:numId w:val="0"/>
        </w:numPr>
        <w:spacing w:line="240" w:lineRule="auto"/>
        <w:ind w:left="284" w:hanging="284"/>
        <w:rPr>
          <w:b w:val="0"/>
          <w:bCs w:val="0"/>
          <w:sz w:val="20"/>
          <w:szCs w:val="20"/>
        </w:rPr>
      </w:pPr>
      <w:r w:rsidRPr="007B133D">
        <w:rPr>
          <w:rStyle w:val="Refdenotaderodap"/>
          <w:rFonts w:eastAsia="Calibri"/>
          <w:b w:val="0"/>
          <w:bCs w:val="0"/>
          <w:sz w:val="20"/>
          <w:szCs w:val="20"/>
        </w:rPr>
        <w:footnoteRef/>
      </w:r>
      <w:r w:rsidRPr="007B133D">
        <w:rPr>
          <w:b w:val="0"/>
          <w:bCs w:val="0"/>
          <w:sz w:val="20"/>
          <w:szCs w:val="20"/>
        </w:rPr>
        <w:t xml:space="preserve"> </w:t>
      </w:r>
      <w:r w:rsidRPr="00AA295E">
        <w:rPr>
          <w:b w:val="0"/>
          <w:bCs w:val="0"/>
          <w:i/>
          <w:iCs/>
          <w:sz w:val="20"/>
          <w:szCs w:val="20"/>
        </w:rPr>
        <w:t>Idem</w:t>
      </w:r>
      <w:r w:rsidRPr="007B133D">
        <w:rPr>
          <w:b w:val="0"/>
          <w:bCs w:val="0"/>
          <w:sz w:val="20"/>
          <w:szCs w:val="20"/>
        </w:rPr>
        <w:t xml:space="preserve"> – </w:t>
      </w:r>
      <w:r w:rsidRPr="00ED6932">
        <w:rPr>
          <w:i/>
          <w:iCs/>
          <w:sz w:val="20"/>
          <w:szCs w:val="20"/>
        </w:rPr>
        <w:t>Op. Cit.</w:t>
      </w:r>
      <w:r w:rsidRPr="007B133D">
        <w:rPr>
          <w:sz w:val="20"/>
          <w:szCs w:val="20"/>
        </w:rPr>
        <w:t xml:space="preserve"> </w:t>
      </w:r>
      <w:r w:rsidRPr="007B133D">
        <w:rPr>
          <w:b w:val="0"/>
          <w:bCs w:val="0"/>
          <w:sz w:val="20"/>
          <w:szCs w:val="20"/>
        </w:rPr>
        <w:t>p. 30.</w:t>
      </w:r>
    </w:p>
  </w:footnote>
  <w:footnote w:id="61">
    <w:p w14:paraId="03B2D602" w14:textId="08316559" w:rsidR="00ED6932" w:rsidRPr="007B133D" w:rsidRDefault="00ED6932" w:rsidP="00157BA1">
      <w:pPr>
        <w:pStyle w:val="Ttulo1"/>
        <w:numPr>
          <w:ilvl w:val="0"/>
          <w:numId w:val="0"/>
        </w:numPr>
        <w:spacing w:line="240" w:lineRule="auto"/>
        <w:ind w:left="284" w:hanging="284"/>
        <w:rPr>
          <w:b w:val="0"/>
          <w:bCs w:val="0"/>
          <w:sz w:val="20"/>
          <w:szCs w:val="20"/>
        </w:rPr>
      </w:pPr>
      <w:r w:rsidRPr="007B133D">
        <w:rPr>
          <w:rStyle w:val="Refdenotaderodap"/>
          <w:rFonts w:eastAsia="Calibri"/>
          <w:b w:val="0"/>
          <w:bCs w:val="0"/>
          <w:sz w:val="20"/>
          <w:szCs w:val="20"/>
        </w:rPr>
        <w:footnoteRef/>
      </w:r>
      <w:r w:rsidRPr="007B133D">
        <w:rPr>
          <w:b w:val="0"/>
          <w:bCs w:val="0"/>
          <w:sz w:val="20"/>
          <w:szCs w:val="20"/>
        </w:rPr>
        <w:t xml:space="preserve"> FUJITA, Jorge </w:t>
      </w:r>
      <w:proofErr w:type="spellStart"/>
      <w:r w:rsidRPr="007B133D">
        <w:rPr>
          <w:b w:val="0"/>
          <w:bCs w:val="0"/>
          <w:sz w:val="20"/>
          <w:szCs w:val="20"/>
        </w:rPr>
        <w:t>Shiguemitsu</w:t>
      </w:r>
      <w:proofErr w:type="spellEnd"/>
      <w:r w:rsidRPr="007B133D">
        <w:rPr>
          <w:b w:val="0"/>
          <w:bCs w:val="0"/>
          <w:sz w:val="20"/>
          <w:szCs w:val="20"/>
        </w:rPr>
        <w:t xml:space="preserve"> </w:t>
      </w:r>
      <w:r>
        <w:rPr>
          <w:b w:val="0"/>
          <w:bCs w:val="0"/>
          <w:sz w:val="20"/>
          <w:szCs w:val="20"/>
        </w:rPr>
        <w:t>–</w:t>
      </w:r>
      <w:r w:rsidRPr="007B133D">
        <w:rPr>
          <w:b w:val="0"/>
          <w:bCs w:val="0"/>
          <w:sz w:val="20"/>
          <w:szCs w:val="20"/>
        </w:rPr>
        <w:t xml:space="preserve"> </w:t>
      </w:r>
      <w:r w:rsidRPr="00ED6932">
        <w:rPr>
          <w:i/>
          <w:iCs/>
          <w:sz w:val="20"/>
          <w:szCs w:val="20"/>
        </w:rPr>
        <w:t>Op. Cit</w:t>
      </w:r>
      <w:r w:rsidR="002E798A">
        <w:rPr>
          <w:i/>
          <w:iCs/>
          <w:sz w:val="20"/>
          <w:szCs w:val="20"/>
        </w:rPr>
        <w:t>.</w:t>
      </w:r>
      <w:r w:rsidRPr="00ED6932">
        <w:rPr>
          <w:b w:val="0"/>
          <w:bCs w:val="0"/>
          <w:i/>
          <w:iCs/>
          <w:sz w:val="20"/>
          <w:szCs w:val="20"/>
        </w:rPr>
        <w:t xml:space="preserve"> </w:t>
      </w:r>
      <w:r w:rsidRPr="007B133D">
        <w:rPr>
          <w:b w:val="0"/>
          <w:bCs w:val="0"/>
          <w:sz w:val="20"/>
          <w:szCs w:val="20"/>
        </w:rPr>
        <w:t>p.71.</w:t>
      </w:r>
    </w:p>
  </w:footnote>
  <w:footnote w:id="62">
    <w:p w14:paraId="7EC8ABFE" w14:textId="77777777" w:rsidR="00ED6932" w:rsidRPr="007B133D" w:rsidRDefault="00ED6932" w:rsidP="00157BA1">
      <w:pPr>
        <w:pStyle w:val="Ttulo1"/>
        <w:numPr>
          <w:ilvl w:val="0"/>
          <w:numId w:val="0"/>
        </w:numPr>
        <w:spacing w:line="240" w:lineRule="auto"/>
        <w:ind w:left="284" w:hanging="284"/>
        <w:rPr>
          <w:b w:val="0"/>
          <w:bCs w:val="0"/>
          <w:sz w:val="20"/>
          <w:szCs w:val="20"/>
        </w:rPr>
      </w:pPr>
      <w:r w:rsidRPr="007B133D">
        <w:rPr>
          <w:rStyle w:val="Refdenotaderodap"/>
          <w:rFonts w:eastAsia="Calibri"/>
          <w:b w:val="0"/>
          <w:bCs w:val="0"/>
          <w:sz w:val="20"/>
          <w:szCs w:val="20"/>
        </w:rPr>
        <w:footnoteRef/>
      </w:r>
      <w:r w:rsidRPr="007B133D">
        <w:rPr>
          <w:b w:val="0"/>
          <w:bCs w:val="0"/>
          <w:sz w:val="20"/>
          <w:szCs w:val="20"/>
        </w:rPr>
        <w:t xml:space="preserve"> Enunciado nº 103, da I Jornada de Direito Civil. </w:t>
      </w:r>
      <w:r w:rsidRPr="007B133D">
        <w:rPr>
          <w:sz w:val="20"/>
          <w:szCs w:val="20"/>
        </w:rPr>
        <w:t>Conselho da Justiça Federal.</w:t>
      </w:r>
      <w:r w:rsidRPr="007B133D">
        <w:rPr>
          <w:b w:val="0"/>
          <w:bCs w:val="0"/>
          <w:sz w:val="20"/>
          <w:szCs w:val="20"/>
        </w:rPr>
        <w:t xml:space="preserve"> [Em linha]. Disponível em </w:t>
      </w:r>
      <w:r w:rsidRPr="007B133D">
        <w:rPr>
          <w:rFonts w:eastAsiaTheme="majorEastAsia"/>
          <w:b w:val="0"/>
          <w:bCs w:val="0"/>
          <w:sz w:val="20"/>
          <w:szCs w:val="20"/>
        </w:rPr>
        <w:t>http://www.cjf.jus.br/enunciados/enunciado/734</w:t>
      </w:r>
      <w:r w:rsidRPr="007B133D">
        <w:rPr>
          <w:b w:val="0"/>
          <w:bCs w:val="0"/>
          <w:sz w:val="20"/>
          <w:szCs w:val="20"/>
        </w:rPr>
        <w:t>.</w:t>
      </w:r>
    </w:p>
  </w:footnote>
  <w:footnote w:id="63">
    <w:p w14:paraId="737B21FC" w14:textId="77777777" w:rsidR="00ED6932" w:rsidRPr="007B133D" w:rsidRDefault="00ED6932" w:rsidP="00157BA1">
      <w:pPr>
        <w:pStyle w:val="Ttulo1"/>
        <w:numPr>
          <w:ilvl w:val="0"/>
          <w:numId w:val="0"/>
        </w:numPr>
        <w:spacing w:line="240" w:lineRule="auto"/>
        <w:ind w:left="284" w:hanging="284"/>
        <w:rPr>
          <w:b w:val="0"/>
          <w:bCs w:val="0"/>
          <w:sz w:val="20"/>
          <w:szCs w:val="20"/>
        </w:rPr>
      </w:pPr>
      <w:r w:rsidRPr="007B133D">
        <w:rPr>
          <w:rStyle w:val="Refdenotaderodap"/>
          <w:rFonts w:eastAsia="Calibri"/>
          <w:b w:val="0"/>
          <w:bCs w:val="0"/>
          <w:sz w:val="20"/>
          <w:szCs w:val="20"/>
        </w:rPr>
        <w:footnoteRef/>
      </w:r>
      <w:r w:rsidRPr="007B133D">
        <w:rPr>
          <w:b w:val="0"/>
          <w:bCs w:val="0"/>
          <w:sz w:val="20"/>
          <w:szCs w:val="20"/>
        </w:rPr>
        <w:t xml:space="preserve"> Enunciado nº 256, da III Jornada de Direito Civil. </w:t>
      </w:r>
      <w:r w:rsidRPr="007B133D">
        <w:rPr>
          <w:sz w:val="20"/>
          <w:szCs w:val="20"/>
        </w:rPr>
        <w:t>Conselho da Justiça Federal.</w:t>
      </w:r>
      <w:r w:rsidRPr="007B133D">
        <w:rPr>
          <w:b w:val="0"/>
          <w:bCs w:val="0"/>
          <w:sz w:val="20"/>
          <w:szCs w:val="20"/>
        </w:rPr>
        <w:t xml:space="preserve"> [Em linha]. Disponível em </w:t>
      </w:r>
      <w:r w:rsidRPr="007B133D">
        <w:rPr>
          <w:rFonts w:eastAsiaTheme="majorEastAsia"/>
          <w:b w:val="0"/>
          <w:bCs w:val="0"/>
          <w:sz w:val="20"/>
          <w:szCs w:val="20"/>
        </w:rPr>
        <w:t>https://www.cjf.jus.br/enunciados/enunciado/501</w:t>
      </w:r>
      <w:r w:rsidRPr="007B133D">
        <w:rPr>
          <w:b w:val="0"/>
          <w:bCs w:val="0"/>
          <w:sz w:val="20"/>
          <w:szCs w:val="20"/>
        </w:rPr>
        <w:t xml:space="preserve">. </w:t>
      </w:r>
    </w:p>
  </w:footnote>
  <w:footnote w:id="64">
    <w:p w14:paraId="55D3C458" w14:textId="77777777" w:rsidR="00ED6932" w:rsidRPr="007B133D" w:rsidRDefault="00ED6932" w:rsidP="00157BA1">
      <w:pPr>
        <w:pStyle w:val="Ttulo1"/>
        <w:numPr>
          <w:ilvl w:val="0"/>
          <w:numId w:val="0"/>
        </w:numPr>
        <w:spacing w:line="240" w:lineRule="auto"/>
        <w:ind w:left="284" w:hanging="284"/>
        <w:rPr>
          <w:sz w:val="20"/>
          <w:szCs w:val="20"/>
        </w:rPr>
      </w:pPr>
      <w:r w:rsidRPr="007B133D">
        <w:rPr>
          <w:rStyle w:val="Refdenotaderodap"/>
          <w:rFonts w:eastAsia="Calibri"/>
          <w:b w:val="0"/>
          <w:bCs w:val="0"/>
          <w:sz w:val="20"/>
          <w:szCs w:val="20"/>
        </w:rPr>
        <w:footnoteRef/>
      </w:r>
      <w:r w:rsidRPr="007B133D">
        <w:rPr>
          <w:b w:val="0"/>
          <w:bCs w:val="0"/>
          <w:sz w:val="20"/>
          <w:szCs w:val="20"/>
        </w:rPr>
        <w:t xml:space="preserve"> FERREIRA, Lucia Maria Teixeira – Comentários aos artigos 1.591 a 1.617 do Código Civil de 2002. In LEITE, Heloisa Maria Daltro (</w:t>
      </w:r>
      <w:proofErr w:type="spellStart"/>
      <w:r w:rsidRPr="007B133D">
        <w:rPr>
          <w:b w:val="0"/>
          <w:bCs w:val="0"/>
          <w:sz w:val="20"/>
          <w:szCs w:val="20"/>
        </w:rPr>
        <w:t>coord</w:t>
      </w:r>
      <w:proofErr w:type="spellEnd"/>
      <w:r w:rsidRPr="007B133D">
        <w:rPr>
          <w:b w:val="0"/>
          <w:bCs w:val="0"/>
          <w:sz w:val="20"/>
          <w:szCs w:val="20"/>
        </w:rPr>
        <w:t xml:space="preserve">) - </w:t>
      </w:r>
      <w:r w:rsidRPr="007B133D">
        <w:rPr>
          <w:sz w:val="20"/>
          <w:szCs w:val="20"/>
        </w:rPr>
        <w:t>O novo Código Civil: Do Direito de Família</w:t>
      </w:r>
      <w:r w:rsidRPr="007B133D">
        <w:rPr>
          <w:b w:val="0"/>
          <w:bCs w:val="0"/>
          <w:sz w:val="20"/>
          <w:szCs w:val="20"/>
        </w:rPr>
        <w:t>. Rio de Janeiro: Freitas Bastos, 2002, p. 175.</w:t>
      </w:r>
    </w:p>
  </w:footnote>
  <w:footnote w:id="65">
    <w:p w14:paraId="3820514A" w14:textId="456ABF6E" w:rsidR="00ED6932" w:rsidRPr="007B133D" w:rsidRDefault="00ED6932" w:rsidP="00157BA1">
      <w:pPr>
        <w:pStyle w:val="Ttulo1"/>
        <w:numPr>
          <w:ilvl w:val="0"/>
          <w:numId w:val="0"/>
        </w:numPr>
        <w:spacing w:line="240" w:lineRule="auto"/>
        <w:ind w:left="284" w:hanging="284"/>
        <w:rPr>
          <w:b w:val="0"/>
          <w:bCs w:val="0"/>
          <w:sz w:val="20"/>
          <w:szCs w:val="20"/>
        </w:rPr>
      </w:pPr>
      <w:r w:rsidRPr="007B133D">
        <w:rPr>
          <w:rStyle w:val="Refdenotaderodap"/>
          <w:rFonts w:eastAsia="Calibri"/>
          <w:b w:val="0"/>
          <w:bCs w:val="0"/>
          <w:sz w:val="20"/>
          <w:szCs w:val="20"/>
        </w:rPr>
        <w:footnoteRef/>
      </w:r>
      <w:r w:rsidRPr="007B133D">
        <w:rPr>
          <w:sz w:val="20"/>
          <w:szCs w:val="20"/>
        </w:rPr>
        <w:t xml:space="preserve"> </w:t>
      </w:r>
      <w:r w:rsidRPr="007B133D">
        <w:rPr>
          <w:b w:val="0"/>
          <w:bCs w:val="0"/>
          <w:sz w:val="20"/>
          <w:szCs w:val="20"/>
        </w:rPr>
        <w:t xml:space="preserve">DIAS, Maria Berenice – </w:t>
      </w:r>
      <w:r w:rsidRPr="002E798A">
        <w:rPr>
          <w:i/>
          <w:iCs/>
          <w:sz w:val="20"/>
          <w:szCs w:val="20"/>
        </w:rPr>
        <w:t>Op. Cit</w:t>
      </w:r>
      <w:r>
        <w:rPr>
          <w:b w:val="0"/>
          <w:bCs w:val="0"/>
          <w:sz w:val="20"/>
          <w:szCs w:val="20"/>
        </w:rPr>
        <w:t>.</w:t>
      </w:r>
      <w:r w:rsidRPr="007B133D">
        <w:rPr>
          <w:b w:val="0"/>
          <w:bCs w:val="0"/>
          <w:sz w:val="20"/>
          <w:szCs w:val="20"/>
        </w:rPr>
        <w:t xml:space="preserve"> p. 496.</w:t>
      </w:r>
    </w:p>
  </w:footnote>
  <w:footnote w:id="66">
    <w:p w14:paraId="4ADB5E3F" w14:textId="77777777" w:rsidR="00ED6932" w:rsidRPr="007B133D" w:rsidRDefault="00ED6932" w:rsidP="00157BA1">
      <w:pPr>
        <w:pStyle w:val="Ttulo1"/>
        <w:numPr>
          <w:ilvl w:val="0"/>
          <w:numId w:val="0"/>
        </w:numPr>
        <w:spacing w:line="240" w:lineRule="auto"/>
        <w:ind w:left="284" w:hanging="284"/>
        <w:rPr>
          <w:b w:val="0"/>
          <w:bCs w:val="0"/>
          <w:sz w:val="20"/>
          <w:szCs w:val="20"/>
        </w:rPr>
      </w:pPr>
      <w:r w:rsidRPr="007B133D">
        <w:rPr>
          <w:rStyle w:val="Refdenotaderodap"/>
          <w:rFonts w:eastAsia="Calibri"/>
          <w:b w:val="0"/>
          <w:bCs w:val="0"/>
          <w:sz w:val="20"/>
          <w:szCs w:val="20"/>
        </w:rPr>
        <w:footnoteRef/>
      </w:r>
      <w:r w:rsidRPr="007B133D">
        <w:rPr>
          <w:b w:val="0"/>
          <w:bCs w:val="0"/>
          <w:sz w:val="20"/>
          <w:szCs w:val="20"/>
        </w:rPr>
        <w:t xml:space="preserve"> Art. 1.604, CC. Ninguém pode vindicar estado contrário ao que resulta do registro de nascimento, salvo provando-se erro ou falsidade do registro. </w:t>
      </w:r>
    </w:p>
  </w:footnote>
  <w:footnote w:id="67">
    <w:p w14:paraId="5CBB72F9" w14:textId="5BCB7117" w:rsidR="00ED6932" w:rsidRPr="007B133D" w:rsidRDefault="00ED6932" w:rsidP="00157BA1">
      <w:pPr>
        <w:pStyle w:val="Ttulo1"/>
        <w:numPr>
          <w:ilvl w:val="0"/>
          <w:numId w:val="0"/>
        </w:numPr>
        <w:spacing w:line="240" w:lineRule="auto"/>
        <w:ind w:left="284" w:hanging="284"/>
        <w:rPr>
          <w:b w:val="0"/>
          <w:bCs w:val="0"/>
          <w:sz w:val="20"/>
          <w:szCs w:val="20"/>
        </w:rPr>
      </w:pPr>
      <w:r w:rsidRPr="007B133D">
        <w:rPr>
          <w:rStyle w:val="Refdenotaderodap"/>
          <w:rFonts w:eastAsia="Calibri"/>
          <w:b w:val="0"/>
          <w:bCs w:val="0"/>
          <w:sz w:val="20"/>
          <w:szCs w:val="20"/>
        </w:rPr>
        <w:footnoteRef/>
      </w:r>
      <w:r w:rsidRPr="007B133D">
        <w:rPr>
          <w:b w:val="0"/>
          <w:bCs w:val="0"/>
          <w:sz w:val="20"/>
          <w:szCs w:val="20"/>
        </w:rPr>
        <w:t xml:space="preserve"> FUJITA, Jorge </w:t>
      </w:r>
      <w:proofErr w:type="spellStart"/>
      <w:r w:rsidRPr="007B133D">
        <w:rPr>
          <w:b w:val="0"/>
          <w:bCs w:val="0"/>
          <w:sz w:val="20"/>
          <w:szCs w:val="20"/>
        </w:rPr>
        <w:t>Shiguemitsu</w:t>
      </w:r>
      <w:proofErr w:type="spellEnd"/>
      <w:r w:rsidRPr="007B133D">
        <w:rPr>
          <w:b w:val="0"/>
          <w:bCs w:val="0"/>
          <w:sz w:val="20"/>
          <w:szCs w:val="20"/>
        </w:rPr>
        <w:t xml:space="preserve"> – </w:t>
      </w:r>
      <w:r w:rsidRPr="009C63B0">
        <w:rPr>
          <w:i/>
          <w:iCs/>
          <w:sz w:val="20"/>
          <w:szCs w:val="20"/>
        </w:rPr>
        <w:t>Op. Cit.</w:t>
      </w:r>
      <w:r w:rsidRPr="007B133D">
        <w:rPr>
          <w:sz w:val="20"/>
          <w:szCs w:val="20"/>
        </w:rPr>
        <w:t xml:space="preserve"> </w:t>
      </w:r>
      <w:r w:rsidRPr="007B133D">
        <w:rPr>
          <w:b w:val="0"/>
          <w:bCs w:val="0"/>
          <w:sz w:val="20"/>
          <w:szCs w:val="20"/>
        </w:rPr>
        <w:t>p.79.</w:t>
      </w:r>
    </w:p>
  </w:footnote>
  <w:footnote w:id="68">
    <w:p w14:paraId="1E369D5D" w14:textId="77777777" w:rsidR="00ED6932" w:rsidRPr="007B133D" w:rsidRDefault="00ED6932" w:rsidP="00157BA1">
      <w:pPr>
        <w:pStyle w:val="Ttulo1"/>
        <w:numPr>
          <w:ilvl w:val="0"/>
          <w:numId w:val="0"/>
        </w:numPr>
        <w:spacing w:line="240" w:lineRule="auto"/>
        <w:ind w:left="284" w:hanging="284"/>
        <w:rPr>
          <w:b w:val="0"/>
          <w:bCs w:val="0"/>
          <w:sz w:val="20"/>
          <w:szCs w:val="20"/>
        </w:rPr>
      </w:pPr>
      <w:r w:rsidRPr="007B133D">
        <w:rPr>
          <w:rStyle w:val="Refdenotaderodap"/>
          <w:rFonts w:eastAsia="Calibri"/>
          <w:b w:val="0"/>
          <w:bCs w:val="0"/>
          <w:sz w:val="20"/>
          <w:szCs w:val="20"/>
        </w:rPr>
        <w:footnoteRef/>
      </w:r>
      <w:r w:rsidRPr="007B133D">
        <w:rPr>
          <w:b w:val="0"/>
          <w:bCs w:val="0"/>
          <w:sz w:val="20"/>
          <w:szCs w:val="20"/>
        </w:rPr>
        <w:t xml:space="preserve"> SUPERIOR Tribunal de Justiça - Recurso Especial nº 1.333.360/SP, 4ª Turma, de 18 de outubro de 2016. Relator Ministro </w:t>
      </w:r>
      <w:proofErr w:type="spellStart"/>
      <w:r w:rsidRPr="007B133D">
        <w:rPr>
          <w:b w:val="0"/>
          <w:bCs w:val="0"/>
          <w:sz w:val="20"/>
          <w:szCs w:val="20"/>
        </w:rPr>
        <w:t>Luis</w:t>
      </w:r>
      <w:proofErr w:type="spellEnd"/>
      <w:r w:rsidRPr="007B133D">
        <w:rPr>
          <w:b w:val="0"/>
          <w:bCs w:val="0"/>
          <w:sz w:val="20"/>
          <w:szCs w:val="20"/>
        </w:rPr>
        <w:t xml:space="preserve"> Felipe Salomão.</w:t>
      </w:r>
    </w:p>
  </w:footnote>
  <w:footnote w:id="69">
    <w:p w14:paraId="303FC9A2" w14:textId="77777777" w:rsidR="00ED6932" w:rsidRPr="007B133D" w:rsidRDefault="00ED6932" w:rsidP="00157BA1">
      <w:pPr>
        <w:pStyle w:val="Ttulo1"/>
        <w:numPr>
          <w:ilvl w:val="0"/>
          <w:numId w:val="0"/>
        </w:numPr>
        <w:spacing w:line="240" w:lineRule="auto"/>
        <w:ind w:left="284" w:hanging="284"/>
        <w:rPr>
          <w:b w:val="0"/>
          <w:bCs w:val="0"/>
          <w:sz w:val="20"/>
          <w:szCs w:val="20"/>
        </w:rPr>
      </w:pPr>
      <w:r w:rsidRPr="007B133D">
        <w:rPr>
          <w:rStyle w:val="Refdenotaderodap"/>
          <w:rFonts w:eastAsia="Calibri"/>
          <w:b w:val="0"/>
          <w:bCs w:val="0"/>
          <w:sz w:val="20"/>
          <w:szCs w:val="20"/>
        </w:rPr>
        <w:footnoteRef/>
      </w:r>
      <w:r w:rsidRPr="007B133D">
        <w:rPr>
          <w:b w:val="0"/>
          <w:bCs w:val="0"/>
          <w:sz w:val="20"/>
          <w:szCs w:val="20"/>
        </w:rPr>
        <w:t xml:space="preserve"> RIZZARDO, Arnaldo – </w:t>
      </w:r>
      <w:r w:rsidRPr="007B133D">
        <w:rPr>
          <w:sz w:val="20"/>
          <w:szCs w:val="20"/>
        </w:rPr>
        <w:t>Direito de Família.</w:t>
      </w:r>
      <w:r w:rsidRPr="007B133D">
        <w:rPr>
          <w:b w:val="0"/>
          <w:bCs w:val="0"/>
          <w:sz w:val="20"/>
          <w:szCs w:val="20"/>
        </w:rPr>
        <w:t xml:space="preserve"> Rio de Janeiro: Forense, 2004, p.662.</w:t>
      </w:r>
    </w:p>
  </w:footnote>
  <w:footnote w:id="70">
    <w:p w14:paraId="1A272552" w14:textId="77777777" w:rsidR="00ED6932" w:rsidRPr="007B133D" w:rsidRDefault="00ED6932" w:rsidP="00157BA1">
      <w:pPr>
        <w:pStyle w:val="Ttulo1"/>
        <w:numPr>
          <w:ilvl w:val="0"/>
          <w:numId w:val="0"/>
        </w:numPr>
        <w:spacing w:line="240" w:lineRule="auto"/>
        <w:ind w:left="284" w:hanging="284"/>
        <w:rPr>
          <w:sz w:val="20"/>
          <w:szCs w:val="20"/>
        </w:rPr>
      </w:pPr>
      <w:r w:rsidRPr="007B133D">
        <w:rPr>
          <w:rStyle w:val="Refdenotaderodap"/>
          <w:rFonts w:eastAsia="Calibri"/>
          <w:b w:val="0"/>
          <w:bCs w:val="0"/>
          <w:sz w:val="20"/>
          <w:szCs w:val="20"/>
        </w:rPr>
        <w:footnoteRef/>
      </w:r>
      <w:r w:rsidRPr="007B133D">
        <w:rPr>
          <w:b w:val="0"/>
          <w:bCs w:val="0"/>
          <w:sz w:val="20"/>
          <w:szCs w:val="20"/>
        </w:rPr>
        <w:t xml:space="preserve"> TRIBUNAL de Justiça de Rondônia - Processo n. 0012530-95.2010.8.22.0002, 1ª Vara Cível de Ariquemes, de 13 de março de 2012 - Juíza de Direito </w:t>
      </w:r>
      <w:proofErr w:type="spellStart"/>
      <w:r w:rsidRPr="007B133D">
        <w:rPr>
          <w:b w:val="0"/>
          <w:bCs w:val="0"/>
          <w:sz w:val="20"/>
          <w:szCs w:val="20"/>
        </w:rPr>
        <w:t>Deisy</w:t>
      </w:r>
      <w:proofErr w:type="spellEnd"/>
      <w:r w:rsidRPr="007B133D">
        <w:rPr>
          <w:b w:val="0"/>
          <w:bCs w:val="0"/>
          <w:sz w:val="20"/>
          <w:szCs w:val="20"/>
        </w:rPr>
        <w:t xml:space="preserve"> Cristhian Lorena de Oliveira Ferraz.</w:t>
      </w:r>
    </w:p>
  </w:footnote>
  <w:footnote w:id="71">
    <w:p w14:paraId="6ACF699E" w14:textId="77777777" w:rsidR="00ED6932" w:rsidRPr="007B133D" w:rsidRDefault="00ED6932" w:rsidP="00157BA1">
      <w:pPr>
        <w:pStyle w:val="Ttulo1"/>
        <w:numPr>
          <w:ilvl w:val="0"/>
          <w:numId w:val="0"/>
        </w:numPr>
        <w:spacing w:line="240" w:lineRule="auto"/>
        <w:ind w:left="284" w:hanging="284"/>
        <w:rPr>
          <w:b w:val="0"/>
          <w:bCs w:val="0"/>
          <w:sz w:val="20"/>
          <w:szCs w:val="20"/>
        </w:rPr>
      </w:pPr>
      <w:r w:rsidRPr="007B133D">
        <w:rPr>
          <w:rStyle w:val="Refdenotaderodap"/>
          <w:rFonts w:eastAsia="Calibri"/>
          <w:b w:val="0"/>
          <w:bCs w:val="0"/>
          <w:sz w:val="20"/>
          <w:szCs w:val="20"/>
        </w:rPr>
        <w:footnoteRef/>
      </w:r>
      <w:r w:rsidRPr="007B133D">
        <w:rPr>
          <w:b w:val="0"/>
          <w:bCs w:val="0"/>
          <w:sz w:val="20"/>
          <w:szCs w:val="20"/>
        </w:rPr>
        <w:t xml:space="preserve"> BARBOZA, Heloisa Helena – </w:t>
      </w:r>
      <w:r w:rsidRPr="007B133D">
        <w:rPr>
          <w:sz w:val="20"/>
          <w:szCs w:val="20"/>
        </w:rPr>
        <w:t>A filiação em face da inseminação artificial e a fertilização “in vitro”.</w:t>
      </w:r>
      <w:r w:rsidRPr="007B133D">
        <w:rPr>
          <w:b w:val="0"/>
          <w:bCs w:val="0"/>
          <w:sz w:val="20"/>
          <w:szCs w:val="20"/>
        </w:rPr>
        <w:t xml:space="preserve"> Rio de Janeiro: Renovar, 1993, p. 12.</w:t>
      </w:r>
    </w:p>
  </w:footnote>
  <w:footnote w:id="72">
    <w:p w14:paraId="3213C065" w14:textId="77777777" w:rsidR="00ED6932" w:rsidRPr="007B133D" w:rsidRDefault="00ED6932" w:rsidP="00157BA1">
      <w:pPr>
        <w:pStyle w:val="Ttulo1"/>
        <w:numPr>
          <w:ilvl w:val="0"/>
          <w:numId w:val="0"/>
        </w:numPr>
        <w:spacing w:line="240" w:lineRule="auto"/>
        <w:ind w:left="284" w:hanging="284"/>
        <w:rPr>
          <w:b w:val="0"/>
          <w:bCs w:val="0"/>
          <w:sz w:val="20"/>
          <w:szCs w:val="20"/>
        </w:rPr>
      </w:pPr>
      <w:r w:rsidRPr="007B133D">
        <w:rPr>
          <w:rStyle w:val="Refdenotaderodap"/>
          <w:rFonts w:eastAsia="Calibri"/>
          <w:b w:val="0"/>
          <w:bCs w:val="0"/>
          <w:sz w:val="20"/>
          <w:szCs w:val="20"/>
        </w:rPr>
        <w:footnoteRef/>
      </w:r>
      <w:r w:rsidRPr="007B133D">
        <w:rPr>
          <w:b w:val="0"/>
          <w:bCs w:val="0"/>
          <w:sz w:val="20"/>
          <w:szCs w:val="20"/>
        </w:rPr>
        <w:t xml:space="preserve"> BRAUNER, Maria Claudia Crespo – </w:t>
      </w:r>
      <w:r w:rsidRPr="007B133D">
        <w:rPr>
          <w:sz w:val="20"/>
          <w:szCs w:val="20"/>
        </w:rPr>
        <w:t>Direito, sexualidade e reprodução humana: conquistas médicas e o debate bioético</w:t>
      </w:r>
      <w:r w:rsidRPr="007B133D">
        <w:rPr>
          <w:b w:val="0"/>
          <w:bCs w:val="0"/>
          <w:sz w:val="20"/>
          <w:szCs w:val="20"/>
        </w:rPr>
        <w:t>. Rio de Janeiro: Renovar, 2003.</w:t>
      </w:r>
    </w:p>
  </w:footnote>
  <w:footnote w:id="73">
    <w:p w14:paraId="3AC8AF0B" w14:textId="77777777" w:rsidR="00ED6932" w:rsidRPr="007B133D" w:rsidRDefault="00ED6932" w:rsidP="00157BA1">
      <w:pPr>
        <w:pStyle w:val="Ttulo1"/>
        <w:numPr>
          <w:ilvl w:val="0"/>
          <w:numId w:val="0"/>
        </w:numPr>
        <w:spacing w:line="240" w:lineRule="auto"/>
        <w:ind w:left="284" w:hanging="284"/>
        <w:rPr>
          <w:b w:val="0"/>
          <w:bCs w:val="0"/>
          <w:sz w:val="20"/>
          <w:szCs w:val="20"/>
        </w:rPr>
      </w:pPr>
      <w:r w:rsidRPr="007B133D">
        <w:rPr>
          <w:rStyle w:val="Refdenotaderodap"/>
          <w:rFonts w:eastAsia="Calibri"/>
          <w:b w:val="0"/>
          <w:bCs w:val="0"/>
          <w:sz w:val="20"/>
          <w:szCs w:val="20"/>
        </w:rPr>
        <w:footnoteRef/>
      </w:r>
      <w:r w:rsidRPr="007B133D">
        <w:rPr>
          <w:b w:val="0"/>
          <w:bCs w:val="0"/>
          <w:sz w:val="20"/>
          <w:szCs w:val="20"/>
        </w:rPr>
        <w:t xml:space="preserve"> GAMA, Guilherme Calmon Nogueira da – </w:t>
      </w:r>
      <w:r w:rsidRPr="007B133D">
        <w:rPr>
          <w:sz w:val="20"/>
          <w:szCs w:val="20"/>
        </w:rPr>
        <w:t>A nova filiação: o Biodireito e as relações parentais</w:t>
      </w:r>
      <w:r w:rsidRPr="007B133D">
        <w:rPr>
          <w:b w:val="0"/>
          <w:bCs w:val="0"/>
          <w:sz w:val="20"/>
          <w:szCs w:val="20"/>
        </w:rPr>
        <w:t xml:space="preserve">. Rio de Janeiro: Renovar, 2003, p. 506. </w:t>
      </w:r>
    </w:p>
  </w:footnote>
  <w:footnote w:id="74">
    <w:p w14:paraId="3FF0165B" w14:textId="71882517" w:rsidR="00ED6932" w:rsidRPr="007B133D" w:rsidRDefault="00ED6932" w:rsidP="00157BA1">
      <w:pPr>
        <w:pStyle w:val="Ttulo1"/>
        <w:numPr>
          <w:ilvl w:val="0"/>
          <w:numId w:val="0"/>
        </w:numPr>
        <w:spacing w:line="240" w:lineRule="auto"/>
        <w:ind w:left="284" w:hanging="284"/>
        <w:rPr>
          <w:b w:val="0"/>
          <w:bCs w:val="0"/>
          <w:sz w:val="20"/>
          <w:szCs w:val="20"/>
        </w:rPr>
      </w:pPr>
      <w:r w:rsidRPr="007B133D">
        <w:rPr>
          <w:rStyle w:val="Refdenotaderodap"/>
          <w:rFonts w:eastAsia="Calibri"/>
          <w:b w:val="0"/>
          <w:bCs w:val="0"/>
          <w:sz w:val="20"/>
          <w:szCs w:val="20"/>
        </w:rPr>
        <w:footnoteRef/>
      </w:r>
      <w:r w:rsidRPr="007B133D">
        <w:rPr>
          <w:b w:val="0"/>
          <w:bCs w:val="0"/>
          <w:sz w:val="20"/>
          <w:szCs w:val="20"/>
        </w:rPr>
        <w:t xml:space="preserve"> </w:t>
      </w:r>
      <w:r w:rsidRPr="00FD383B">
        <w:rPr>
          <w:b w:val="0"/>
          <w:bCs w:val="0"/>
          <w:i/>
          <w:iCs/>
          <w:sz w:val="20"/>
          <w:szCs w:val="20"/>
        </w:rPr>
        <w:t xml:space="preserve">Idem – </w:t>
      </w:r>
      <w:r w:rsidRPr="00FD383B">
        <w:rPr>
          <w:i/>
          <w:iCs/>
          <w:sz w:val="20"/>
          <w:szCs w:val="20"/>
        </w:rPr>
        <w:t>Op. Cit.</w:t>
      </w:r>
      <w:r w:rsidRPr="007B133D">
        <w:rPr>
          <w:b w:val="0"/>
          <w:bCs w:val="0"/>
          <w:sz w:val="20"/>
          <w:szCs w:val="20"/>
        </w:rPr>
        <w:t xml:space="preserve"> p. 419. </w:t>
      </w:r>
    </w:p>
  </w:footnote>
  <w:footnote w:id="75">
    <w:p w14:paraId="78968755" w14:textId="36E4B59D" w:rsidR="00ED6932" w:rsidRPr="007B133D" w:rsidRDefault="00ED6932" w:rsidP="00157BA1">
      <w:pPr>
        <w:pStyle w:val="Ttulo1"/>
        <w:numPr>
          <w:ilvl w:val="0"/>
          <w:numId w:val="0"/>
        </w:numPr>
        <w:spacing w:line="240" w:lineRule="auto"/>
        <w:ind w:left="284" w:hanging="284"/>
        <w:rPr>
          <w:b w:val="0"/>
          <w:bCs w:val="0"/>
          <w:sz w:val="20"/>
          <w:szCs w:val="20"/>
        </w:rPr>
      </w:pPr>
      <w:r w:rsidRPr="007B133D">
        <w:rPr>
          <w:rStyle w:val="Refdenotaderodap"/>
          <w:rFonts w:eastAsia="Calibri"/>
          <w:b w:val="0"/>
          <w:bCs w:val="0"/>
          <w:sz w:val="20"/>
          <w:szCs w:val="20"/>
        </w:rPr>
        <w:footnoteRef/>
      </w:r>
      <w:r w:rsidRPr="007B133D">
        <w:rPr>
          <w:b w:val="0"/>
          <w:bCs w:val="0"/>
          <w:sz w:val="20"/>
          <w:szCs w:val="20"/>
        </w:rPr>
        <w:t xml:space="preserve"> GAMA, Guilherme Calmon Nogueira da – </w:t>
      </w:r>
      <w:r w:rsidRPr="00AA295E">
        <w:rPr>
          <w:i/>
          <w:iCs/>
          <w:sz w:val="20"/>
          <w:szCs w:val="20"/>
        </w:rPr>
        <w:t>Op. Cit.</w:t>
      </w:r>
      <w:r>
        <w:rPr>
          <w:b w:val="0"/>
          <w:bCs w:val="0"/>
          <w:sz w:val="20"/>
          <w:szCs w:val="20"/>
        </w:rPr>
        <w:t xml:space="preserve"> </w:t>
      </w:r>
      <w:r w:rsidRPr="007B133D">
        <w:rPr>
          <w:b w:val="0"/>
          <w:bCs w:val="0"/>
          <w:sz w:val="20"/>
          <w:szCs w:val="20"/>
        </w:rPr>
        <w:t xml:space="preserve">p. </w:t>
      </w:r>
      <w:r>
        <w:rPr>
          <w:b w:val="0"/>
          <w:bCs w:val="0"/>
          <w:sz w:val="20"/>
          <w:szCs w:val="20"/>
        </w:rPr>
        <w:t>338</w:t>
      </w:r>
      <w:r w:rsidRPr="007B133D">
        <w:rPr>
          <w:b w:val="0"/>
          <w:bCs w:val="0"/>
          <w:sz w:val="20"/>
          <w:szCs w:val="20"/>
        </w:rPr>
        <w:t>.</w:t>
      </w:r>
    </w:p>
  </w:footnote>
  <w:footnote w:id="76">
    <w:p w14:paraId="41D2C5C2" w14:textId="77777777" w:rsidR="00ED6932" w:rsidRPr="007B133D" w:rsidRDefault="00ED6932" w:rsidP="00157BA1">
      <w:pPr>
        <w:pStyle w:val="Ttulo1"/>
        <w:numPr>
          <w:ilvl w:val="0"/>
          <w:numId w:val="0"/>
        </w:numPr>
        <w:spacing w:line="240" w:lineRule="auto"/>
        <w:ind w:left="284" w:hanging="284"/>
        <w:rPr>
          <w:b w:val="0"/>
          <w:bCs w:val="0"/>
          <w:sz w:val="20"/>
          <w:szCs w:val="20"/>
        </w:rPr>
      </w:pPr>
      <w:r w:rsidRPr="007B133D">
        <w:rPr>
          <w:rStyle w:val="Refdenotaderodap"/>
          <w:rFonts w:eastAsia="Calibri"/>
          <w:b w:val="0"/>
          <w:bCs w:val="0"/>
          <w:sz w:val="20"/>
          <w:szCs w:val="20"/>
        </w:rPr>
        <w:footnoteRef/>
      </w:r>
      <w:r w:rsidRPr="007B133D">
        <w:rPr>
          <w:b w:val="0"/>
          <w:bCs w:val="0"/>
          <w:sz w:val="20"/>
          <w:szCs w:val="20"/>
        </w:rPr>
        <w:t xml:space="preserve"> MENDES, Christine </w:t>
      </w:r>
      <w:proofErr w:type="spellStart"/>
      <w:r w:rsidRPr="007B133D">
        <w:rPr>
          <w:b w:val="0"/>
          <w:bCs w:val="0"/>
          <w:sz w:val="20"/>
          <w:szCs w:val="20"/>
        </w:rPr>
        <w:t>Keler</w:t>
      </w:r>
      <w:proofErr w:type="spellEnd"/>
      <w:r w:rsidRPr="007B133D">
        <w:rPr>
          <w:b w:val="0"/>
          <w:bCs w:val="0"/>
          <w:sz w:val="20"/>
          <w:szCs w:val="20"/>
        </w:rPr>
        <w:t xml:space="preserve"> de Lima – Mães substitutas e a determinação da maternidade: implicações da reprodução medicamente assistida na fertilização in vitro heteróloga. </w:t>
      </w:r>
      <w:r w:rsidRPr="007B133D">
        <w:rPr>
          <w:sz w:val="20"/>
          <w:szCs w:val="20"/>
        </w:rPr>
        <w:t xml:space="preserve">Revista Brasileira de Direito das Famílias e Sucessões. </w:t>
      </w:r>
      <w:r w:rsidRPr="007B133D">
        <w:rPr>
          <w:b w:val="0"/>
          <w:bCs w:val="0"/>
          <w:sz w:val="20"/>
          <w:szCs w:val="20"/>
        </w:rPr>
        <w:t>Belo Horizonte (Out-</w:t>
      </w:r>
      <w:proofErr w:type="spellStart"/>
      <w:r w:rsidRPr="007B133D">
        <w:rPr>
          <w:b w:val="0"/>
          <w:bCs w:val="0"/>
          <w:sz w:val="20"/>
          <w:szCs w:val="20"/>
        </w:rPr>
        <w:t>Nov</w:t>
      </w:r>
      <w:proofErr w:type="spellEnd"/>
      <w:r w:rsidRPr="007B133D">
        <w:rPr>
          <w:b w:val="0"/>
          <w:bCs w:val="0"/>
          <w:sz w:val="20"/>
          <w:szCs w:val="20"/>
        </w:rPr>
        <w:t xml:space="preserve"> 2007). Ano IX, p.48.</w:t>
      </w:r>
    </w:p>
  </w:footnote>
  <w:footnote w:id="77">
    <w:p w14:paraId="4DF9834F" w14:textId="77777777" w:rsidR="00ED6932" w:rsidRPr="007B133D" w:rsidRDefault="00ED6932" w:rsidP="00157BA1">
      <w:pPr>
        <w:pStyle w:val="Ttulo1"/>
        <w:numPr>
          <w:ilvl w:val="0"/>
          <w:numId w:val="0"/>
        </w:numPr>
        <w:spacing w:line="240" w:lineRule="auto"/>
        <w:ind w:left="284" w:hanging="284"/>
        <w:rPr>
          <w:b w:val="0"/>
          <w:bCs w:val="0"/>
          <w:sz w:val="20"/>
          <w:szCs w:val="20"/>
        </w:rPr>
      </w:pPr>
      <w:r w:rsidRPr="007B133D">
        <w:rPr>
          <w:rStyle w:val="Refdenotaderodap"/>
          <w:rFonts w:eastAsia="Calibri"/>
          <w:b w:val="0"/>
          <w:bCs w:val="0"/>
          <w:sz w:val="20"/>
          <w:szCs w:val="20"/>
        </w:rPr>
        <w:footnoteRef/>
      </w:r>
      <w:r w:rsidRPr="007B133D">
        <w:rPr>
          <w:b w:val="0"/>
          <w:bCs w:val="0"/>
          <w:sz w:val="20"/>
          <w:szCs w:val="20"/>
        </w:rPr>
        <w:t xml:space="preserve"> FERNANDES, Silvia da Cunha – </w:t>
      </w:r>
      <w:r w:rsidRPr="007B133D">
        <w:rPr>
          <w:sz w:val="20"/>
          <w:szCs w:val="20"/>
        </w:rPr>
        <w:t>As técnicas de reprodução humana assistida e a necessidade de sua regulamentação jurídica.</w:t>
      </w:r>
      <w:r w:rsidRPr="007B133D">
        <w:rPr>
          <w:b w:val="0"/>
          <w:bCs w:val="0"/>
          <w:sz w:val="20"/>
          <w:szCs w:val="20"/>
        </w:rPr>
        <w:t xml:space="preserve"> Rio de Janeiro: Renovar, 2005.</w:t>
      </w:r>
    </w:p>
  </w:footnote>
  <w:footnote w:id="78">
    <w:p w14:paraId="782F53C0" w14:textId="77777777" w:rsidR="00ED6932" w:rsidRPr="007B133D" w:rsidRDefault="00ED6932" w:rsidP="00157BA1">
      <w:pPr>
        <w:pStyle w:val="Ttulo1"/>
        <w:numPr>
          <w:ilvl w:val="0"/>
          <w:numId w:val="0"/>
        </w:numPr>
        <w:spacing w:line="240" w:lineRule="auto"/>
        <w:ind w:left="284" w:hanging="284"/>
        <w:rPr>
          <w:b w:val="0"/>
          <w:bCs w:val="0"/>
          <w:sz w:val="20"/>
          <w:szCs w:val="20"/>
        </w:rPr>
      </w:pPr>
      <w:r w:rsidRPr="007B133D">
        <w:rPr>
          <w:rStyle w:val="Refdenotaderodap"/>
          <w:rFonts w:eastAsia="Calibri"/>
          <w:b w:val="0"/>
          <w:bCs w:val="0"/>
          <w:sz w:val="20"/>
          <w:szCs w:val="20"/>
        </w:rPr>
        <w:footnoteRef/>
      </w:r>
      <w:r w:rsidRPr="007B133D">
        <w:rPr>
          <w:b w:val="0"/>
          <w:bCs w:val="0"/>
          <w:sz w:val="20"/>
          <w:szCs w:val="20"/>
        </w:rPr>
        <w:t xml:space="preserve"> BARBOZA, Heloisa Helena – </w:t>
      </w:r>
      <w:r w:rsidRPr="007B133D">
        <w:rPr>
          <w:sz w:val="20"/>
          <w:szCs w:val="20"/>
        </w:rPr>
        <w:t>A filiação em face da inseminação artificial e a fertilização “in vitro”.</w:t>
      </w:r>
      <w:r w:rsidRPr="007B133D">
        <w:rPr>
          <w:b w:val="0"/>
          <w:bCs w:val="0"/>
          <w:sz w:val="20"/>
          <w:szCs w:val="20"/>
        </w:rPr>
        <w:t xml:space="preserve"> Rio de Janeiro: Renovar, 1993, p. 106.</w:t>
      </w:r>
    </w:p>
  </w:footnote>
  <w:footnote w:id="79">
    <w:p w14:paraId="4AACD5B9" w14:textId="77777777" w:rsidR="00ED6932" w:rsidRPr="007B133D" w:rsidRDefault="00ED6932" w:rsidP="00157BA1">
      <w:pPr>
        <w:pStyle w:val="Ttulo1"/>
        <w:numPr>
          <w:ilvl w:val="0"/>
          <w:numId w:val="0"/>
        </w:numPr>
        <w:spacing w:line="240" w:lineRule="auto"/>
        <w:ind w:left="284" w:hanging="284"/>
        <w:rPr>
          <w:b w:val="0"/>
          <w:bCs w:val="0"/>
          <w:sz w:val="20"/>
          <w:szCs w:val="20"/>
        </w:rPr>
      </w:pPr>
      <w:r w:rsidRPr="007B133D">
        <w:rPr>
          <w:rStyle w:val="Refdenotaderodap"/>
          <w:rFonts w:eastAsia="Calibri"/>
          <w:b w:val="0"/>
          <w:bCs w:val="0"/>
          <w:sz w:val="20"/>
          <w:szCs w:val="20"/>
        </w:rPr>
        <w:footnoteRef/>
      </w:r>
      <w:r w:rsidRPr="007B133D">
        <w:rPr>
          <w:b w:val="0"/>
          <w:bCs w:val="0"/>
          <w:sz w:val="20"/>
          <w:szCs w:val="20"/>
        </w:rPr>
        <w:t xml:space="preserve"> SUPERIOR Tribunal de Justiça - Recurso Especial nº 1167993/RS, 4ª turma, de 15 de março de 2013. Relator Ministro </w:t>
      </w:r>
      <w:proofErr w:type="spellStart"/>
      <w:r w:rsidRPr="007B133D">
        <w:rPr>
          <w:b w:val="0"/>
          <w:bCs w:val="0"/>
          <w:sz w:val="20"/>
          <w:szCs w:val="20"/>
        </w:rPr>
        <w:t>Luis</w:t>
      </w:r>
      <w:proofErr w:type="spellEnd"/>
      <w:r w:rsidRPr="007B133D">
        <w:rPr>
          <w:b w:val="0"/>
          <w:bCs w:val="0"/>
          <w:sz w:val="20"/>
          <w:szCs w:val="20"/>
        </w:rPr>
        <w:t xml:space="preserve"> Felipe Salomão. </w:t>
      </w:r>
    </w:p>
  </w:footnote>
  <w:footnote w:id="80">
    <w:p w14:paraId="6390067A" w14:textId="77777777" w:rsidR="00ED6932" w:rsidRPr="007B133D" w:rsidRDefault="00ED6932" w:rsidP="00157BA1">
      <w:pPr>
        <w:pStyle w:val="Ttulo1"/>
        <w:numPr>
          <w:ilvl w:val="0"/>
          <w:numId w:val="0"/>
        </w:numPr>
        <w:spacing w:line="240" w:lineRule="auto"/>
        <w:ind w:left="284" w:hanging="284"/>
        <w:rPr>
          <w:b w:val="0"/>
          <w:bCs w:val="0"/>
          <w:sz w:val="20"/>
          <w:szCs w:val="20"/>
          <w:u w:val="single"/>
        </w:rPr>
      </w:pPr>
      <w:r w:rsidRPr="007B133D">
        <w:rPr>
          <w:rStyle w:val="Refdenotaderodap"/>
          <w:rFonts w:eastAsia="Calibri"/>
          <w:b w:val="0"/>
          <w:bCs w:val="0"/>
          <w:sz w:val="20"/>
          <w:szCs w:val="20"/>
        </w:rPr>
        <w:footnoteRef/>
      </w:r>
      <w:r w:rsidRPr="007B133D">
        <w:rPr>
          <w:b w:val="0"/>
          <w:bCs w:val="0"/>
          <w:sz w:val="20"/>
          <w:szCs w:val="20"/>
        </w:rPr>
        <w:t xml:space="preserve"> LOBO, Paulo Luiz Netto – </w:t>
      </w:r>
      <w:r w:rsidRPr="007B133D">
        <w:rPr>
          <w:sz w:val="20"/>
          <w:szCs w:val="20"/>
        </w:rPr>
        <w:t>Direito ao Estado de Filiação e direito à origem genética: uma distinção necessária</w:t>
      </w:r>
      <w:r w:rsidRPr="007B133D">
        <w:rPr>
          <w:b w:val="0"/>
          <w:bCs w:val="0"/>
          <w:sz w:val="20"/>
          <w:szCs w:val="20"/>
        </w:rPr>
        <w:t>. [Em linha]. Brasília: [</w:t>
      </w:r>
      <w:proofErr w:type="spellStart"/>
      <w:r w:rsidRPr="007B133D">
        <w:rPr>
          <w:b w:val="0"/>
          <w:bCs w:val="0"/>
          <w:sz w:val="20"/>
          <w:szCs w:val="20"/>
        </w:rPr>
        <w:t>sn</w:t>
      </w:r>
      <w:proofErr w:type="spellEnd"/>
      <w:r w:rsidRPr="007B133D">
        <w:rPr>
          <w:b w:val="0"/>
          <w:bCs w:val="0"/>
          <w:sz w:val="20"/>
          <w:szCs w:val="20"/>
        </w:rPr>
        <w:t>], (out/dez 2004). [</w:t>
      </w:r>
      <w:proofErr w:type="spellStart"/>
      <w:r w:rsidRPr="007B133D">
        <w:rPr>
          <w:b w:val="0"/>
          <w:bCs w:val="0"/>
          <w:sz w:val="20"/>
          <w:szCs w:val="20"/>
        </w:rPr>
        <w:t>Consult</w:t>
      </w:r>
      <w:proofErr w:type="spellEnd"/>
      <w:r w:rsidRPr="007B133D">
        <w:rPr>
          <w:b w:val="0"/>
          <w:bCs w:val="0"/>
          <w:sz w:val="20"/>
          <w:szCs w:val="20"/>
        </w:rPr>
        <w:t xml:space="preserve">. 18 </w:t>
      </w:r>
      <w:proofErr w:type="spellStart"/>
      <w:r w:rsidRPr="007B133D">
        <w:rPr>
          <w:b w:val="0"/>
          <w:bCs w:val="0"/>
          <w:sz w:val="20"/>
          <w:szCs w:val="20"/>
        </w:rPr>
        <w:t>jan</w:t>
      </w:r>
      <w:proofErr w:type="spellEnd"/>
      <w:r w:rsidRPr="007B133D">
        <w:rPr>
          <w:b w:val="0"/>
          <w:bCs w:val="0"/>
          <w:sz w:val="20"/>
          <w:szCs w:val="20"/>
        </w:rPr>
        <w:t xml:space="preserve"> 2019]. Disponível em </w:t>
      </w:r>
      <w:r w:rsidRPr="007B133D">
        <w:rPr>
          <w:rFonts w:eastAsiaTheme="majorEastAsia"/>
          <w:b w:val="0"/>
          <w:bCs w:val="0"/>
          <w:sz w:val="20"/>
          <w:szCs w:val="20"/>
        </w:rPr>
        <w:t>https://bdjur.stj.jus.br/jspui/bitstream/2011/120874/direito_estado_filiacao_lobo.pdf</w:t>
      </w:r>
      <w:r w:rsidRPr="007B133D">
        <w:rPr>
          <w:b w:val="0"/>
          <w:bCs w:val="0"/>
          <w:sz w:val="20"/>
          <w:szCs w:val="20"/>
        </w:rPr>
        <w:t xml:space="preserve">. </w:t>
      </w:r>
    </w:p>
  </w:footnote>
  <w:footnote w:id="81">
    <w:p w14:paraId="27556238" w14:textId="34AE7BDC" w:rsidR="00ED6932" w:rsidRPr="007B133D" w:rsidRDefault="00ED6932" w:rsidP="00157BA1">
      <w:pPr>
        <w:pStyle w:val="Ttulo1"/>
        <w:numPr>
          <w:ilvl w:val="0"/>
          <w:numId w:val="0"/>
        </w:numPr>
        <w:spacing w:line="240" w:lineRule="auto"/>
        <w:ind w:left="284" w:hanging="284"/>
        <w:rPr>
          <w:b w:val="0"/>
          <w:bCs w:val="0"/>
          <w:sz w:val="20"/>
          <w:szCs w:val="20"/>
        </w:rPr>
      </w:pPr>
      <w:r w:rsidRPr="007B133D">
        <w:rPr>
          <w:rStyle w:val="Refdenotaderodap"/>
          <w:rFonts w:eastAsia="Calibri"/>
          <w:b w:val="0"/>
          <w:bCs w:val="0"/>
          <w:sz w:val="20"/>
          <w:szCs w:val="20"/>
        </w:rPr>
        <w:footnoteRef/>
      </w:r>
      <w:r w:rsidRPr="007B133D">
        <w:rPr>
          <w:b w:val="0"/>
          <w:bCs w:val="0"/>
          <w:sz w:val="20"/>
          <w:szCs w:val="20"/>
        </w:rPr>
        <w:t xml:space="preserve"> LOBO, Paulo Luiz Netto – </w:t>
      </w:r>
      <w:r w:rsidRPr="00480EAC">
        <w:rPr>
          <w:i/>
          <w:iCs/>
          <w:sz w:val="20"/>
          <w:szCs w:val="20"/>
        </w:rPr>
        <w:t>Op. Cit</w:t>
      </w:r>
      <w:r w:rsidRPr="00480EAC">
        <w:rPr>
          <w:b w:val="0"/>
          <w:bCs w:val="0"/>
          <w:i/>
          <w:iCs/>
          <w:sz w:val="20"/>
          <w:szCs w:val="20"/>
        </w:rPr>
        <w:t>.</w:t>
      </w:r>
      <w:r>
        <w:rPr>
          <w:b w:val="0"/>
          <w:bCs w:val="0"/>
          <w:sz w:val="20"/>
          <w:szCs w:val="20"/>
        </w:rPr>
        <w:t xml:space="preserve"> </w:t>
      </w:r>
    </w:p>
  </w:footnote>
  <w:footnote w:id="82">
    <w:p w14:paraId="11A5C767" w14:textId="77777777" w:rsidR="00ED6932" w:rsidRPr="007B133D" w:rsidRDefault="00ED6932" w:rsidP="00157BA1">
      <w:pPr>
        <w:pStyle w:val="Ttulo1"/>
        <w:numPr>
          <w:ilvl w:val="0"/>
          <w:numId w:val="0"/>
        </w:numPr>
        <w:spacing w:line="240" w:lineRule="auto"/>
        <w:ind w:left="284" w:hanging="284"/>
        <w:rPr>
          <w:b w:val="0"/>
          <w:bCs w:val="0"/>
          <w:sz w:val="20"/>
          <w:szCs w:val="20"/>
        </w:rPr>
      </w:pPr>
      <w:r w:rsidRPr="007B133D">
        <w:rPr>
          <w:rStyle w:val="Refdenotaderodap"/>
          <w:rFonts w:eastAsia="Calibri"/>
          <w:b w:val="0"/>
          <w:bCs w:val="0"/>
          <w:sz w:val="20"/>
          <w:szCs w:val="20"/>
        </w:rPr>
        <w:footnoteRef/>
      </w:r>
      <w:r w:rsidRPr="007B133D">
        <w:rPr>
          <w:b w:val="0"/>
          <w:bCs w:val="0"/>
          <w:sz w:val="20"/>
          <w:szCs w:val="20"/>
        </w:rPr>
        <w:t xml:space="preserve"> DINIZ, Maria Helena – </w:t>
      </w:r>
      <w:r w:rsidRPr="007B133D">
        <w:rPr>
          <w:sz w:val="20"/>
          <w:szCs w:val="20"/>
        </w:rPr>
        <w:t>O estado atual do Biodireito.</w:t>
      </w:r>
      <w:r w:rsidRPr="007B133D">
        <w:rPr>
          <w:b w:val="0"/>
          <w:bCs w:val="0"/>
          <w:sz w:val="20"/>
          <w:szCs w:val="20"/>
        </w:rPr>
        <w:t xml:space="preserve"> São Paulo: Saraiva, 2007, p.510.</w:t>
      </w:r>
    </w:p>
  </w:footnote>
  <w:footnote w:id="83">
    <w:p w14:paraId="1FDF71B8" w14:textId="77777777" w:rsidR="00ED6932" w:rsidRPr="007B133D" w:rsidRDefault="00ED6932" w:rsidP="00157BA1">
      <w:pPr>
        <w:pStyle w:val="Ttulo1"/>
        <w:numPr>
          <w:ilvl w:val="0"/>
          <w:numId w:val="0"/>
        </w:numPr>
        <w:spacing w:line="240" w:lineRule="auto"/>
        <w:ind w:left="284" w:hanging="284"/>
        <w:rPr>
          <w:b w:val="0"/>
          <w:bCs w:val="0"/>
          <w:sz w:val="20"/>
          <w:szCs w:val="20"/>
        </w:rPr>
      </w:pPr>
      <w:r w:rsidRPr="007B133D">
        <w:rPr>
          <w:rStyle w:val="Refdenotaderodap"/>
          <w:rFonts w:eastAsia="Calibri"/>
          <w:b w:val="0"/>
          <w:bCs w:val="0"/>
          <w:sz w:val="20"/>
          <w:szCs w:val="20"/>
        </w:rPr>
        <w:footnoteRef/>
      </w:r>
      <w:r w:rsidRPr="007B133D">
        <w:rPr>
          <w:b w:val="0"/>
          <w:bCs w:val="0"/>
          <w:sz w:val="20"/>
          <w:szCs w:val="20"/>
        </w:rPr>
        <w:t xml:space="preserve"> SUPREMO Tribunal Federal - Recurso Extraordinário com Agravo nº 692.186/PB, de 29 de novembro de 2012. Relator Ministro Luiz Fux.</w:t>
      </w:r>
    </w:p>
  </w:footnote>
  <w:footnote w:id="84">
    <w:p w14:paraId="5A1A5544" w14:textId="77777777" w:rsidR="00ED6932" w:rsidRPr="007B133D" w:rsidRDefault="00ED6932" w:rsidP="00157BA1">
      <w:pPr>
        <w:pStyle w:val="Ttulo1"/>
        <w:numPr>
          <w:ilvl w:val="0"/>
          <w:numId w:val="0"/>
        </w:numPr>
        <w:spacing w:line="240" w:lineRule="auto"/>
        <w:ind w:left="284" w:hanging="284"/>
        <w:rPr>
          <w:b w:val="0"/>
          <w:bCs w:val="0"/>
          <w:sz w:val="20"/>
          <w:szCs w:val="20"/>
        </w:rPr>
      </w:pPr>
      <w:r w:rsidRPr="007B133D">
        <w:rPr>
          <w:rStyle w:val="Refdenotaderodap"/>
          <w:rFonts w:eastAsia="Calibri"/>
          <w:b w:val="0"/>
          <w:bCs w:val="0"/>
          <w:sz w:val="20"/>
          <w:szCs w:val="20"/>
        </w:rPr>
        <w:footnoteRef/>
      </w:r>
      <w:r w:rsidRPr="007B133D">
        <w:rPr>
          <w:b w:val="0"/>
          <w:bCs w:val="0"/>
          <w:sz w:val="20"/>
          <w:szCs w:val="20"/>
        </w:rPr>
        <w:t xml:space="preserve"> MALUF, Adriana Caldas do Rego Freitas </w:t>
      </w:r>
      <w:proofErr w:type="spellStart"/>
      <w:r w:rsidRPr="007B133D">
        <w:rPr>
          <w:b w:val="0"/>
          <w:bCs w:val="0"/>
          <w:sz w:val="20"/>
          <w:szCs w:val="20"/>
        </w:rPr>
        <w:t>Dabus</w:t>
      </w:r>
      <w:proofErr w:type="spellEnd"/>
      <w:r w:rsidRPr="007B133D">
        <w:rPr>
          <w:b w:val="0"/>
          <w:bCs w:val="0"/>
          <w:sz w:val="20"/>
          <w:szCs w:val="20"/>
        </w:rPr>
        <w:t xml:space="preserve"> – </w:t>
      </w:r>
      <w:r w:rsidRPr="007B133D">
        <w:rPr>
          <w:sz w:val="20"/>
          <w:szCs w:val="20"/>
        </w:rPr>
        <w:t>Curso de Bioética e Biodireito.</w:t>
      </w:r>
      <w:r w:rsidRPr="007B133D">
        <w:rPr>
          <w:b w:val="0"/>
          <w:bCs w:val="0"/>
          <w:sz w:val="20"/>
          <w:szCs w:val="20"/>
        </w:rPr>
        <w:t xml:space="preserve"> São Paulo: Atlas, 2013, p. 223.</w:t>
      </w:r>
    </w:p>
  </w:footnote>
  <w:footnote w:id="85">
    <w:p w14:paraId="3F45FF19" w14:textId="77777777" w:rsidR="00ED6932" w:rsidRPr="007B133D" w:rsidRDefault="00ED6932" w:rsidP="00157BA1">
      <w:pPr>
        <w:pStyle w:val="Ttulo1"/>
        <w:numPr>
          <w:ilvl w:val="0"/>
          <w:numId w:val="0"/>
        </w:numPr>
        <w:spacing w:line="240" w:lineRule="auto"/>
        <w:ind w:left="284" w:hanging="284"/>
        <w:rPr>
          <w:b w:val="0"/>
          <w:bCs w:val="0"/>
          <w:sz w:val="20"/>
          <w:szCs w:val="20"/>
        </w:rPr>
      </w:pPr>
      <w:r w:rsidRPr="007B133D">
        <w:rPr>
          <w:rStyle w:val="Refdenotaderodap"/>
          <w:rFonts w:eastAsia="Calibri"/>
          <w:b w:val="0"/>
          <w:bCs w:val="0"/>
          <w:sz w:val="20"/>
          <w:szCs w:val="20"/>
        </w:rPr>
        <w:footnoteRef/>
      </w:r>
      <w:r w:rsidRPr="007B133D">
        <w:rPr>
          <w:b w:val="0"/>
          <w:bCs w:val="0"/>
          <w:sz w:val="20"/>
          <w:szCs w:val="20"/>
        </w:rPr>
        <w:t xml:space="preserve"> MENDES, Christine </w:t>
      </w:r>
      <w:proofErr w:type="spellStart"/>
      <w:r w:rsidRPr="007B133D">
        <w:rPr>
          <w:b w:val="0"/>
          <w:bCs w:val="0"/>
          <w:sz w:val="20"/>
          <w:szCs w:val="20"/>
        </w:rPr>
        <w:t>Keler</w:t>
      </w:r>
      <w:proofErr w:type="spellEnd"/>
      <w:r w:rsidRPr="007B133D">
        <w:rPr>
          <w:b w:val="0"/>
          <w:bCs w:val="0"/>
          <w:sz w:val="20"/>
          <w:szCs w:val="20"/>
        </w:rPr>
        <w:t xml:space="preserve"> de Lima – Mães substitutas e a determinação da maternidade: implicações da reprodução medicamente assistida na fertilização in vitro heteróloga. </w:t>
      </w:r>
      <w:r w:rsidRPr="007B133D">
        <w:rPr>
          <w:sz w:val="20"/>
          <w:szCs w:val="20"/>
        </w:rPr>
        <w:t xml:space="preserve">Revista Brasileira de Direito das Famílias e Sucessões. </w:t>
      </w:r>
      <w:r w:rsidRPr="007B133D">
        <w:rPr>
          <w:b w:val="0"/>
          <w:bCs w:val="0"/>
          <w:sz w:val="20"/>
          <w:szCs w:val="20"/>
        </w:rPr>
        <w:t>Belo Horizonte (Out-</w:t>
      </w:r>
      <w:proofErr w:type="spellStart"/>
      <w:r w:rsidRPr="007B133D">
        <w:rPr>
          <w:b w:val="0"/>
          <w:bCs w:val="0"/>
          <w:sz w:val="20"/>
          <w:szCs w:val="20"/>
        </w:rPr>
        <w:t>Nov</w:t>
      </w:r>
      <w:proofErr w:type="spellEnd"/>
      <w:r w:rsidRPr="007B133D">
        <w:rPr>
          <w:b w:val="0"/>
          <w:bCs w:val="0"/>
          <w:sz w:val="20"/>
          <w:szCs w:val="20"/>
        </w:rPr>
        <w:t xml:space="preserve"> 2007). Ano IX, p. 49.</w:t>
      </w:r>
    </w:p>
  </w:footnote>
  <w:footnote w:id="86">
    <w:p w14:paraId="7B584369" w14:textId="77777777" w:rsidR="00ED6932" w:rsidRPr="007B133D" w:rsidRDefault="00ED6932" w:rsidP="00157BA1">
      <w:pPr>
        <w:pStyle w:val="Ttulo1"/>
        <w:numPr>
          <w:ilvl w:val="0"/>
          <w:numId w:val="0"/>
        </w:numPr>
        <w:spacing w:line="240" w:lineRule="auto"/>
        <w:ind w:left="284" w:hanging="284"/>
        <w:rPr>
          <w:b w:val="0"/>
          <w:bCs w:val="0"/>
          <w:sz w:val="20"/>
          <w:szCs w:val="20"/>
        </w:rPr>
      </w:pPr>
      <w:r w:rsidRPr="007B133D">
        <w:rPr>
          <w:rStyle w:val="Refdenotaderodap"/>
          <w:rFonts w:eastAsia="Calibri"/>
          <w:b w:val="0"/>
          <w:bCs w:val="0"/>
          <w:sz w:val="20"/>
          <w:szCs w:val="20"/>
        </w:rPr>
        <w:footnoteRef/>
      </w:r>
      <w:r w:rsidRPr="007B133D">
        <w:rPr>
          <w:b w:val="0"/>
          <w:bCs w:val="0"/>
          <w:sz w:val="20"/>
          <w:szCs w:val="20"/>
        </w:rPr>
        <w:t xml:space="preserve"> LEITE, Eduardo de Oliveira – </w:t>
      </w:r>
      <w:r w:rsidRPr="007B133D">
        <w:rPr>
          <w:sz w:val="20"/>
          <w:szCs w:val="20"/>
        </w:rPr>
        <w:t>Procriações artificiais e o direito.</w:t>
      </w:r>
      <w:r w:rsidRPr="007B133D">
        <w:rPr>
          <w:b w:val="0"/>
          <w:bCs w:val="0"/>
          <w:sz w:val="20"/>
          <w:szCs w:val="20"/>
        </w:rPr>
        <w:t xml:space="preserve"> São Paulo: Editora Revista dos Tribunais, 1995, p. 188.</w:t>
      </w:r>
    </w:p>
  </w:footnote>
  <w:footnote w:id="87">
    <w:p w14:paraId="041F117A" w14:textId="00192284" w:rsidR="00ED6932" w:rsidRPr="007B133D" w:rsidRDefault="00ED6932" w:rsidP="00157BA1">
      <w:pPr>
        <w:pStyle w:val="Ttulo1"/>
        <w:numPr>
          <w:ilvl w:val="0"/>
          <w:numId w:val="0"/>
        </w:numPr>
        <w:spacing w:line="240" w:lineRule="auto"/>
        <w:ind w:left="284" w:hanging="284"/>
        <w:rPr>
          <w:b w:val="0"/>
          <w:bCs w:val="0"/>
          <w:sz w:val="20"/>
          <w:szCs w:val="20"/>
        </w:rPr>
      </w:pPr>
      <w:r w:rsidRPr="007B133D">
        <w:rPr>
          <w:rStyle w:val="Refdenotaderodap"/>
          <w:rFonts w:eastAsia="Calibri"/>
          <w:b w:val="0"/>
          <w:bCs w:val="0"/>
          <w:sz w:val="20"/>
          <w:szCs w:val="20"/>
        </w:rPr>
        <w:footnoteRef/>
      </w:r>
      <w:r w:rsidRPr="007B133D">
        <w:rPr>
          <w:b w:val="0"/>
          <w:bCs w:val="0"/>
          <w:sz w:val="20"/>
          <w:szCs w:val="20"/>
        </w:rPr>
        <w:t xml:space="preserve"> GAMA, Guilherme Calmon Nogueira da – </w:t>
      </w:r>
      <w:r w:rsidRPr="00480EAC">
        <w:rPr>
          <w:i/>
          <w:iCs/>
          <w:sz w:val="20"/>
          <w:szCs w:val="20"/>
        </w:rPr>
        <w:t>Op. Cit.</w:t>
      </w:r>
      <w:r w:rsidRPr="007B133D">
        <w:rPr>
          <w:b w:val="0"/>
          <w:bCs w:val="0"/>
          <w:sz w:val="20"/>
          <w:szCs w:val="20"/>
        </w:rPr>
        <w:t xml:space="preserve"> p. 748-749.</w:t>
      </w:r>
    </w:p>
  </w:footnote>
  <w:footnote w:id="88">
    <w:p w14:paraId="36EE3263" w14:textId="77777777" w:rsidR="00ED6932" w:rsidRPr="007B133D" w:rsidRDefault="00ED6932" w:rsidP="00157BA1">
      <w:pPr>
        <w:pStyle w:val="Ttulo1"/>
        <w:numPr>
          <w:ilvl w:val="0"/>
          <w:numId w:val="0"/>
        </w:numPr>
        <w:spacing w:line="240" w:lineRule="auto"/>
        <w:ind w:left="284" w:hanging="284"/>
        <w:rPr>
          <w:b w:val="0"/>
          <w:bCs w:val="0"/>
          <w:sz w:val="20"/>
          <w:szCs w:val="20"/>
        </w:rPr>
      </w:pPr>
      <w:r w:rsidRPr="007B133D">
        <w:rPr>
          <w:rStyle w:val="Refdenotaderodap"/>
          <w:rFonts w:eastAsia="Calibri"/>
          <w:b w:val="0"/>
          <w:bCs w:val="0"/>
          <w:sz w:val="20"/>
          <w:szCs w:val="20"/>
        </w:rPr>
        <w:footnoteRef/>
      </w:r>
      <w:r w:rsidRPr="007B133D">
        <w:rPr>
          <w:b w:val="0"/>
          <w:bCs w:val="0"/>
          <w:sz w:val="20"/>
          <w:szCs w:val="20"/>
        </w:rPr>
        <w:t xml:space="preserve"> LOUREIRO, Claudia Regina Magalhães – </w:t>
      </w:r>
      <w:r w:rsidRPr="007B133D">
        <w:rPr>
          <w:sz w:val="20"/>
          <w:szCs w:val="20"/>
        </w:rPr>
        <w:t>Introdução ao Biodireito</w:t>
      </w:r>
      <w:r w:rsidRPr="007B133D">
        <w:rPr>
          <w:b w:val="0"/>
          <w:bCs w:val="0"/>
          <w:sz w:val="20"/>
          <w:szCs w:val="20"/>
        </w:rPr>
        <w:t>. São Paulo: Saraiva, 2009, p. 104.</w:t>
      </w:r>
    </w:p>
  </w:footnote>
  <w:footnote w:id="89">
    <w:p w14:paraId="6B0FDB3A" w14:textId="77777777" w:rsidR="00ED6932" w:rsidRPr="007B133D" w:rsidRDefault="00ED6932" w:rsidP="00157BA1">
      <w:pPr>
        <w:pStyle w:val="Ttulo1"/>
        <w:numPr>
          <w:ilvl w:val="0"/>
          <w:numId w:val="0"/>
        </w:numPr>
        <w:spacing w:line="240" w:lineRule="auto"/>
        <w:ind w:left="284" w:hanging="284"/>
        <w:rPr>
          <w:b w:val="0"/>
          <w:bCs w:val="0"/>
          <w:sz w:val="20"/>
          <w:szCs w:val="20"/>
        </w:rPr>
      </w:pPr>
      <w:r w:rsidRPr="007B133D">
        <w:rPr>
          <w:rStyle w:val="Refdenotaderodap"/>
          <w:rFonts w:eastAsia="Calibri"/>
          <w:b w:val="0"/>
          <w:bCs w:val="0"/>
          <w:sz w:val="20"/>
          <w:szCs w:val="20"/>
        </w:rPr>
        <w:footnoteRef/>
      </w:r>
      <w:r w:rsidRPr="007B133D">
        <w:rPr>
          <w:b w:val="0"/>
          <w:bCs w:val="0"/>
          <w:sz w:val="20"/>
          <w:szCs w:val="20"/>
        </w:rPr>
        <w:t xml:space="preserve"> BOEIRA, José Bernardo Ramos – </w:t>
      </w:r>
      <w:r w:rsidRPr="007B133D">
        <w:rPr>
          <w:sz w:val="20"/>
          <w:szCs w:val="20"/>
        </w:rPr>
        <w:t>Investigação de paternidade: posse de estado de filho.</w:t>
      </w:r>
      <w:r w:rsidRPr="007B133D">
        <w:rPr>
          <w:b w:val="0"/>
          <w:bCs w:val="0"/>
          <w:sz w:val="20"/>
          <w:szCs w:val="20"/>
        </w:rPr>
        <w:t xml:space="preserve"> Porto Alegre: Livraria do Advogado, 1999, p. 60.</w:t>
      </w:r>
    </w:p>
  </w:footnote>
  <w:footnote w:id="90">
    <w:p w14:paraId="5A5A230D" w14:textId="77777777" w:rsidR="00ED6932" w:rsidRPr="007B133D" w:rsidRDefault="00ED6932" w:rsidP="00157BA1">
      <w:pPr>
        <w:pStyle w:val="Ttulo1"/>
        <w:numPr>
          <w:ilvl w:val="0"/>
          <w:numId w:val="0"/>
        </w:numPr>
        <w:spacing w:line="240" w:lineRule="auto"/>
        <w:ind w:left="284" w:hanging="284"/>
        <w:rPr>
          <w:b w:val="0"/>
          <w:bCs w:val="0"/>
          <w:sz w:val="20"/>
          <w:szCs w:val="20"/>
        </w:rPr>
      </w:pPr>
      <w:r w:rsidRPr="007B133D">
        <w:rPr>
          <w:rStyle w:val="Refdenotaderodap"/>
          <w:rFonts w:eastAsia="Calibri"/>
          <w:b w:val="0"/>
          <w:bCs w:val="0"/>
          <w:sz w:val="20"/>
          <w:szCs w:val="20"/>
        </w:rPr>
        <w:footnoteRef/>
      </w:r>
      <w:r w:rsidRPr="007B133D">
        <w:rPr>
          <w:b w:val="0"/>
          <w:bCs w:val="0"/>
          <w:sz w:val="20"/>
          <w:szCs w:val="20"/>
        </w:rPr>
        <w:t xml:space="preserve"> GOMES, Orlando – </w:t>
      </w:r>
      <w:r w:rsidRPr="007B133D">
        <w:rPr>
          <w:sz w:val="20"/>
          <w:szCs w:val="20"/>
        </w:rPr>
        <w:t>Direito de Família.</w:t>
      </w:r>
      <w:r w:rsidRPr="007B133D">
        <w:rPr>
          <w:b w:val="0"/>
          <w:bCs w:val="0"/>
          <w:sz w:val="20"/>
          <w:szCs w:val="20"/>
        </w:rPr>
        <w:t xml:space="preserve"> 7ª edição. Rio de Janeiro: Forense, 1993, p. 311.</w:t>
      </w:r>
    </w:p>
  </w:footnote>
  <w:footnote w:id="91">
    <w:p w14:paraId="4EFF819D" w14:textId="77777777" w:rsidR="00ED6932" w:rsidRPr="007B133D" w:rsidRDefault="00ED6932" w:rsidP="00157BA1">
      <w:pPr>
        <w:pStyle w:val="Ttulo1"/>
        <w:numPr>
          <w:ilvl w:val="0"/>
          <w:numId w:val="0"/>
        </w:numPr>
        <w:spacing w:line="240" w:lineRule="auto"/>
        <w:ind w:left="284" w:hanging="284"/>
        <w:rPr>
          <w:b w:val="0"/>
          <w:bCs w:val="0"/>
          <w:sz w:val="20"/>
          <w:szCs w:val="20"/>
        </w:rPr>
      </w:pPr>
      <w:r w:rsidRPr="007B133D">
        <w:rPr>
          <w:rStyle w:val="Refdenotaderodap"/>
          <w:rFonts w:eastAsia="Calibri"/>
          <w:b w:val="0"/>
          <w:bCs w:val="0"/>
          <w:sz w:val="20"/>
          <w:szCs w:val="20"/>
        </w:rPr>
        <w:footnoteRef/>
      </w:r>
      <w:r w:rsidRPr="007B133D">
        <w:rPr>
          <w:b w:val="0"/>
          <w:bCs w:val="0"/>
          <w:sz w:val="20"/>
          <w:szCs w:val="20"/>
        </w:rPr>
        <w:t xml:space="preserve"> VELOSO, Zeno – </w:t>
      </w:r>
      <w:r w:rsidRPr="007B133D">
        <w:rPr>
          <w:sz w:val="20"/>
          <w:szCs w:val="20"/>
        </w:rPr>
        <w:t>Direito brasileiro da filiação e da paternidade.</w:t>
      </w:r>
      <w:r w:rsidRPr="007B133D">
        <w:rPr>
          <w:b w:val="0"/>
          <w:bCs w:val="0"/>
          <w:sz w:val="20"/>
          <w:szCs w:val="20"/>
        </w:rPr>
        <w:t xml:space="preserve"> São Paulo: Malheiros, 1997, p. 32.</w:t>
      </w:r>
    </w:p>
  </w:footnote>
  <w:footnote w:id="92">
    <w:p w14:paraId="3B1C4059" w14:textId="77777777" w:rsidR="00ED6932" w:rsidRPr="007B133D" w:rsidRDefault="00ED6932" w:rsidP="00157BA1">
      <w:pPr>
        <w:pStyle w:val="Ttulo1"/>
        <w:numPr>
          <w:ilvl w:val="0"/>
          <w:numId w:val="0"/>
        </w:numPr>
        <w:spacing w:line="240" w:lineRule="auto"/>
        <w:ind w:left="284" w:hanging="284"/>
        <w:rPr>
          <w:b w:val="0"/>
          <w:bCs w:val="0"/>
          <w:sz w:val="20"/>
          <w:szCs w:val="20"/>
        </w:rPr>
      </w:pPr>
      <w:r w:rsidRPr="007B133D">
        <w:rPr>
          <w:rStyle w:val="Refdenotaderodap"/>
          <w:rFonts w:eastAsia="Calibri"/>
          <w:b w:val="0"/>
          <w:bCs w:val="0"/>
          <w:sz w:val="20"/>
          <w:szCs w:val="20"/>
        </w:rPr>
        <w:footnoteRef/>
      </w:r>
      <w:r w:rsidRPr="007B133D">
        <w:rPr>
          <w:b w:val="0"/>
          <w:bCs w:val="0"/>
          <w:sz w:val="20"/>
          <w:szCs w:val="20"/>
        </w:rPr>
        <w:t xml:space="preserve"> FACHIN, Luiz Edson – </w:t>
      </w:r>
      <w:r w:rsidRPr="007B133D">
        <w:rPr>
          <w:sz w:val="20"/>
          <w:szCs w:val="20"/>
        </w:rPr>
        <w:t>Comentários ao novo Código Civil: do direito de família, do direito pessoal, das relações de parentesco.</w:t>
      </w:r>
      <w:r w:rsidRPr="007B133D">
        <w:rPr>
          <w:b w:val="0"/>
          <w:bCs w:val="0"/>
          <w:sz w:val="20"/>
          <w:szCs w:val="20"/>
        </w:rPr>
        <w:t xml:space="preserve"> Volume XVIII. Rio de Janeiro: Forense, 2004.</w:t>
      </w:r>
    </w:p>
  </w:footnote>
  <w:footnote w:id="93">
    <w:p w14:paraId="45DD67C7" w14:textId="6BC0E464" w:rsidR="00ED6932" w:rsidRPr="007B133D" w:rsidRDefault="00ED6932" w:rsidP="00157BA1">
      <w:pPr>
        <w:pStyle w:val="Ttulo1"/>
        <w:numPr>
          <w:ilvl w:val="0"/>
          <w:numId w:val="0"/>
        </w:numPr>
        <w:spacing w:line="240" w:lineRule="auto"/>
        <w:ind w:left="284" w:hanging="284"/>
        <w:rPr>
          <w:b w:val="0"/>
          <w:bCs w:val="0"/>
          <w:sz w:val="20"/>
          <w:szCs w:val="20"/>
        </w:rPr>
      </w:pPr>
      <w:r w:rsidRPr="007B133D">
        <w:rPr>
          <w:rStyle w:val="Refdenotaderodap"/>
          <w:rFonts w:eastAsia="Calibri"/>
          <w:b w:val="0"/>
          <w:bCs w:val="0"/>
          <w:sz w:val="20"/>
          <w:szCs w:val="20"/>
        </w:rPr>
        <w:footnoteRef/>
      </w:r>
      <w:r w:rsidRPr="007B133D">
        <w:rPr>
          <w:b w:val="0"/>
          <w:bCs w:val="0"/>
          <w:sz w:val="20"/>
          <w:szCs w:val="20"/>
        </w:rPr>
        <w:t xml:space="preserve"> FUJITA, Jorge </w:t>
      </w:r>
      <w:proofErr w:type="spellStart"/>
      <w:r w:rsidRPr="007B133D">
        <w:rPr>
          <w:b w:val="0"/>
          <w:bCs w:val="0"/>
          <w:sz w:val="20"/>
          <w:szCs w:val="20"/>
        </w:rPr>
        <w:t>Shiguemitsu</w:t>
      </w:r>
      <w:proofErr w:type="spellEnd"/>
      <w:r w:rsidRPr="007B133D">
        <w:rPr>
          <w:b w:val="0"/>
          <w:bCs w:val="0"/>
          <w:sz w:val="20"/>
          <w:szCs w:val="20"/>
        </w:rPr>
        <w:t xml:space="preserve"> – </w:t>
      </w:r>
      <w:r w:rsidRPr="00FA44CA">
        <w:rPr>
          <w:i/>
          <w:iCs/>
          <w:sz w:val="20"/>
          <w:szCs w:val="20"/>
        </w:rPr>
        <w:t>Op. Cit.</w:t>
      </w:r>
      <w:r w:rsidRPr="007B133D">
        <w:rPr>
          <w:b w:val="0"/>
          <w:bCs w:val="0"/>
          <w:sz w:val="20"/>
          <w:szCs w:val="20"/>
        </w:rPr>
        <w:t xml:space="preserve"> p. 113. </w:t>
      </w:r>
    </w:p>
  </w:footnote>
  <w:footnote w:id="94">
    <w:p w14:paraId="59E32824" w14:textId="77777777" w:rsidR="00ED6932" w:rsidRPr="007B133D" w:rsidRDefault="00ED6932" w:rsidP="00157BA1">
      <w:pPr>
        <w:pStyle w:val="Ttulo1"/>
        <w:numPr>
          <w:ilvl w:val="0"/>
          <w:numId w:val="0"/>
        </w:numPr>
        <w:spacing w:line="240" w:lineRule="auto"/>
        <w:ind w:left="284" w:hanging="284"/>
        <w:rPr>
          <w:sz w:val="20"/>
          <w:szCs w:val="20"/>
        </w:rPr>
      </w:pPr>
      <w:r w:rsidRPr="007B133D">
        <w:rPr>
          <w:rStyle w:val="Refdenotaderodap"/>
          <w:rFonts w:eastAsia="Calibri"/>
          <w:b w:val="0"/>
          <w:bCs w:val="0"/>
          <w:sz w:val="20"/>
          <w:szCs w:val="20"/>
        </w:rPr>
        <w:footnoteRef/>
      </w:r>
      <w:r w:rsidRPr="007B133D">
        <w:rPr>
          <w:b w:val="0"/>
          <w:bCs w:val="0"/>
          <w:sz w:val="20"/>
          <w:szCs w:val="20"/>
        </w:rPr>
        <w:t xml:space="preserve"> WELTER, Belmiro Pedro – </w:t>
      </w:r>
      <w:r w:rsidRPr="007B133D">
        <w:rPr>
          <w:sz w:val="20"/>
          <w:szCs w:val="20"/>
        </w:rPr>
        <w:t>Igualdade entre as filiações biológicas e socioafetivas.</w:t>
      </w:r>
      <w:r w:rsidRPr="007B133D">
        <w:rPr>
          <w:b w:val="0"/>
          <w:bCs w:val="0"/>
          <w:sz w:val="20"/>
          <w:szCs w:val="20"/>
        </w:rPr>
        <w:t xml:space="preserve"> São Paulo: Revista dos Tribunais, 2003, p. 183.</w:t>
      </w:r>
    </w:p>
  </w:footnote>
  <w:footnote w:id="95">
    <w:p w14:paraId="7A87C7AA" w14:textId="77777777" w:rsidR="00ED6932" w:rsidRPr="007B133D" w:rsidRDefault="00ED6932" w:rsidP="00157BA1">
      <w:pPr>
        <w:pStyle w:val="Textodenotaderodap"/>
        <w:spacing w:line="240" w:lineRule="auto"/>
        <w:ind w:left="284" w:hanging="284"/>
        <w:rPr>
          <w:rFonts w:cs="Times New Roman"/>
          <w:b w:val="0"/>
          <w:bCs/>
        </w:rPr>
      </w:pPr>
      <w:r w:rsidRPr="007B133D">
        <w:rPr>
          <w:rStyle w:val="Refdenotaderodap"/>
          <w:rFonts w:cs="Times New Roman"/>
          <w:b w:val="0"/>
          <w:bCs/>
        </w:rPr>
        <w:footnoteRef/>
      </w:r>
      <w:r w:rsidRPr="007B133D">
        <w:rPr>
          <w:rFonts w:cs="Times New Roman"/>
          <w:b w:val="0"/>
          <w:bCs/>
        </w:rPr>
        <w:t xml:space="preserve"> Art. 1.597 Presumem-se concebidos na constância do casamento os filhos: </w:t>
      </w:r>
    </w:p>
    <w:p w14:paraId="4603B5C0" w14:textId="77777777" w:rsidR="00ED6932" w:rsidRPr="007B133D" w:rsidRDefault="00ED6932" w:rsidP="00157BA1">
      <w:pPr>
        <w:pStyle w:val="Textodenotaderodap"/>
        <w:spacing w:line="240" w:lineRule="auto"/>
        <w:ind w:left="284" w:hanging="284"/>
        <w:rPr>
          <w:rFonts w:cs="Times New Roman"/>
          <w:b w:val="0"/>
          <w:bCs/>
        </w:rPr>
      </w:pPr>
      <w:r w:rsidRPr="007B133D">
        <w:rPr>
          <w:rFonts w:cs="Times New Roman"/>
          <w:b w:val="0"/>
          <w:bCs/>
        </w:rPr>
        <w:t xml:space="preserve">I – </w:t>
      </w:r>
      <w:proofErr w:type="gramStart"/>
      <w:r w:rsidRPr="007B133D">
        <w:rPr>
          <w:rFonts w:cs="Times New Roman"/>
          <w:b w:val="0"/>
          <w:bCs/>
        </w:rPr>
        <w:t>nascidos</w:t>
      </w:r>
      <w:proofErr w:type="gramEnd"/>
      <w:r w:rsidRPr="007B133D">
        <w:rPr>
          <w:rFonts w:cs="Times New Roman"/>
          <w:b w:val="0"/>
          <w:bCs/>
        </w:rPr>
        <w:t xml:space="preserve"> cento e oitenta dias, pelo menos, depois de estabelecida a convivência conjugal;</w:t>
      </w:r>
    </w:p>
    <w:p w14:paraId="17605D4C" w14:textId="77777777" w:rsidR="00ED6932" w:rsidRPr="007B133D" w:rsidRDefault="00ED6932" w:rsidP="00157BA1">
      <w:pPr>
        <w:pStyle w:val="Textodenotaderodap"/>
        <w:spacing w:line="240" w:lineRule="auto"/>
        <w:ind w:left="284" w:hanging="284"/>
        <w:rPr>
          <w:rFonts w:cs="Times New Roman"/>
          <w:b w:val="0"/>
          <w:bCs/>
        </w:rPr>
      </w:pPr>
      <w:r w:rsidRPr="007B133D">
        <w:rPr>
          <w:rFonts w:cs="Times New Roman"/>
          <w:b w:val="0"/>
          <w:bCs/>
        </w:rPr>
        <w:t xml:space="preserve">II – </w:t>
      </w:r>
      <w:proofErr w:type="gramStart"/>
      <w:r w:rsidRPr="007B133D">
        <w:rPr>
          <w:rFonts w:cs="Times New Roman"/>
          <w:b w:val="0"/>
          <w:bCs/>
        </w:rPr>
        <w:t>nascidos</w:t>
      </w:r>
      <w:proofErr w:type="gramEnd"/>
      <w:r w:rsidRPr="007B133D">
        <w:rPr>
          <w:rFonts w:cs="Times New Roman"/>
          <w:b w:val="0"/>
          <w:bCs/>
        </w:rPr>
        <w:t xml:space="preserve"> nos trezentos dias subsequentes à dissolução da sociedade conjugal, por morte, separação judicial, nulidade e anulação do casamento;</w:t>
      </w:r>
    </w:p>
    <w:p w14:paraId="66E7D837" w14:textId="77777777" w:rsidR="00ED6932" w:rsidRPr="007B133D" w:rsidRDefault="00ED6932" w:rsidP="00157BA1">
      <w:pPr>
        <w:pStyle w:val="Textodenotaderodap"/>
        <w:spacing w:line="240" w:lineRule="auto"/>
        <w:ind w:left="284" w:hanging="284"/>
        <w:rPr>
          <w:rFonts w:cs="Times New Roman"/>
          <w:b w:val="0"/>
          <w:bCs/>
        </w:rPr>
      </w:pPr>
      <w:r w:rsidRPr="007B133D">
        <w:rPr>
          <w:rFonts w:cs="Times New Roman"/>
          <w:b w:val="0"/>
          <w:bCs/>
        </w:rPr>
        <w:t>III – havidos por fecundação artificial homóloga, mesmo que falecido o marido;</w:t>
      </w:r>
    </w:p>
    <w:p w14:paraId="675EAB3E" w14:textId="77777777" w:rsidR="00ED6932" w:rsidRPr="007B133D" w:rsidRDefault="00ED6932" w:rsidP="00157BA1">
      <w:pPr>
        <w:pStyle w:val="Textodenotaderodap"/>
        <w:spacing w:line="240" w:lineRule="auto"/>
        <w:ind w:left="284" w:hanging="284"/>
        <w:rPr>
          <w:rFonts w:cs="Times New Roman"/>
          <w:b w:val="0"/>
          <w:bCs/>
        </w:rPr>
      </w:pPr>
      <w:r w:rsidRPr="007B133D">
        <w:rPr>
          <w:rFonts w:cs="Times New Roman"/>
          <w:b w:val="0"/>
          <w:bCs/>
        </w:rPr>
        <w:t xml:space="preserve">IV – </w:t>
      </w:r>
      <w:proofErr w:type="gramStart"/>
      <w:r w:rsidRPr="007B133D">
        <w:rPr>
          <w:rFonts w:cs="Times New Roman"/>
          <w:b w:val="0"/>
          <w:bCs/>
        </w:rPr>
        <w:t>havidos</w:t>
      </w:r>
      <w:proofErr w:type="gramEnd"/>
      <w:r w:rsidRPr="007B133D">
        <w:rPr>
          <w:rFonts w:cs="Times New Roman"/>
          <w:b w:val="0"/>
          <w:bCs/>
        </w:rPr>
        <w:t>, a qualquer tempo, quando se tratar de embriões excedentários, decorrentes de concepção artificial homóloga;</w:t>
      </w:r>
    </w:p>
    <w:p w14:paraId="35DC4DA1" w14:textId="77777777" w:rsidR="00ED6932" w:rsidRPr="007B133D" w:rsidRDefault="00ED6932" w:rsidP="00157BA1">
      <w:pPr>
        <w:pStyle w:val="Textodenotaderodap"/>
        <w:spacing w:line="240" w:lineRule="auto"/>
        <w:ind w:left="284" w:hanging="284"/>
        <w:rPr>
          <w:rFonts w:cs="Times New Roman"/>
          <w:b w:val="0"/>
          <w:bCs/>
        </w:rPr>
      </w:pPr>
      <w:r w:rsidRPr="007B133D">
        <w:rPr>
          <w:rFonts w:cs="Times New Roman"/>
          <w:b w:val="0"/>
          <w:bCs/>
        </w:rPr>
        <w:t xml:space="preserve">V – </w:t>
      </w:r>
      <w:proofErr w:type="gramStart"/>
      <w:r w:rsidRPr="007B133D">
        <w:rPr>
          <w:rFonts w:cs="Times New Roman"/>
          <w:b w:val="0"/>
          <w:bCs/>
        </w:rPr>
        <w:t>havidos</w:t>
      </w:r>
      <w:proofErr w:type="gramEnd"/>
      <w:r w:rsidRPr="007B133D">
        <w:rPr>
          <w:rFonts w:cs="Times New Roman"/>
          <w:b w:val="0"/>
          <w:bCs/>
        </w:rPr>
        <w:t xml:space="preserve"> por inseminação artificial heteróloga, desde que tenha prévia autorização do marido.   </w:t>
      </w:r>
    </w:p>
  </w:footnote>
  <w:footnote w:id="96">
    <w:p w14:paraId="5F9AE6BD" w14:textId="77777777" w:rsidR="00ED6932" w:rsidRPr="007B133D" w:rsidRDefault="00ED6932" w:rsidP="00157BA1">
      <w:pPr>
        <w:pStyle w:val="Ttulo1"/>
        <w:numPr>
          <w:ilvl w:val="0"/>
          <w:numId w:val="0"/>
        </w:numPr>
        <w:spacing w:line="240" w:lineRule="auto"/>
        <w:ind w:left="284" w:hanging="284"/>
        <w:rPr>
          <w:b w:val="0"/>
          <w:sz w:val="20"/>
          <w:szCs w:val="20"/>
        </w:rPr>
      </w:pPr>
      <w:r w:rsidRPr="007B133D">
        <w:rPr>
          <w:rStyle w:val="Refdenotaderodap"/>
          <w:b w:val="0"/>
          <w:sz w:val="20"/>
          <w:szCs w:val="20"/>
        </w:rPr>
        <w:footnoteRef/>
      </w:r>
      <w:r w:rsidRPr="007B133D">
        <w:rPr>
          <w:b w:val="0"/>
          <w:sz w:val="20"/>
          <w:szCs w:val="20"/>
        </w:rPr>
        <w:t xml:space="preserve"> A extensão da presunção </w:t>
      </w:r>
      <w:r w:rsidRPr="007B133D">
        <w:rPr>
          <w:b w:val="0"/>
          <w:i/>
          <w:iCs/>
          <w:sz w:val="20"/>
          <w:szCs w:val="20"/>
        </w:rPr>
        <w:t xml:space="preserve">pater </w:t>
      </w:r>
      <w:proofErr w:type="spellStart"/>
      <w:r w:rsidRPr="007B133D">
        <w:rPr>
          <w:b w:val="0"/>
          <w:i/>
          <w:iCs/>
          <w:sz w:val="20"/>
          <w:szCs w:val="20"/>
        </w:rPr>
        <w:t>is</w:t>
      </w:r>
      <w:proofErr w:type="spellEnd"/>
      <w:r w:rsidRPr="007B133D">
        <w:rPr>
          <w:b w:val="0"/>
          <w:sz w:val="20"/>
          <w:szCs w:val="20"/>
        </w:rPr>
        <w:t xml:space="preserve"> à união estável foi determinada pelo CNJ, nos termos do Provimento n° 52/2016, art. 1°, § 1°, e art. 2°, III.</w:t>
      </w:r>
    </w:p>
  </w:footnote>
  <w:footnote w:id="97">
    <w:p w14:paraId="5492C4EA" w14:textId="77777777" w:rsidR="00ED6932" w:rsidRPr="007B133D" w:rsidRDefault="00ED6932" w:rsidP="00157BA1">
      <w:pPr>
        <w:pStyle w:val="Ttulo1"/>
        <w:numPr>
          <w:ilvl w:val="0"/>
          <w:numId w:val="0"/>
        </w:numPr>
        <w:spacing w:line="240" w:lineRule="auto"/>
        <w:ind w:left="284" w:hanging="284"/>
        <w:rPr>
          <w:b w:val="0"/>
          <w:sz w:val="20"/>
          <w:szCs w:val="20"/>
        </w:rPr>
      </w:pPr>
      <w:r w:rsidRPr="007B133D">
        <w:rPr>
          <w:rStyle w:val="Refdenotaderodap"/>
          <w:b w:val="0"/>
          <w:sz w:val="20"/>
          <w:szCs w:val="20"/>
        </w:rPr>
        <w:footnoteRef/>
      </w:r>
      <w:r w:rsidRPr="007B133D">
        <w:rPr>
          <w:b w:val="0"/>
          <w:sz w:val="20"/>
          <w:szCs w:val="20"/>
        </w:rPr>
        <w:t xml:space="preserve"> Resolução n° 2168/2017 do Conselho Federal de Medicina: “VIII – REPRODUÇÃO ASSISTIDA </w:t>
      </w:r>
      <w:r w:rsidRPr="00A00190">
        <w:rPr>
          <w:b w:val="0"/>
          <w:i/>
          <w:iCs/>
          <w:sz w:val="20"/>
          <w:szCs w:val="20"/>
        </w:rPr>
        <w:t>POST-MORTEM</w:t>
      </w:r>
      <w:r w:rsidRPr="007B133D">
        <w:rPr>
          <w:b w:val="0"/>
          <w:sz w:val="20"/>
          <w:szCs w:val="20"/>
        </w:rPr>
        <w:t xml:space="preserve">: É permitida a reprodução assistida </w:t>
      </w:r>
      <w:r w:rsidRPr="00DF3CAC">
        <w:rPr>
          <w:b w:val="0"/>
          <w:i/>
          <w:iCs/>
          <w:sz w:val="20"/>
          <w:szCs w:val="20"/>
        </w:rPr>
        <w:t>post-mortem</w:t>
      </w:r>
      <w:r w:rsidRPr="007B133D">
        <w:rPr>
          <w:b w:val="0"/>
          <w:sz w:val="20"/>
          <w:szCs w:val="20"/>
        </w:rPr>
        <w:t xml:space="preserve"> desde que haja autorização prévia específica do (a) falecido (a) para o uso do material biológico </w:t>
      </w:r>
      <w:proofErr w:type="spellStart"/>
      <w:r w:rsidRPr="007B133D">
        <w:rPr>
          <w:b w:val="0"/>
          <w:sz w:val="20"/>
          <w:szCs w:val="20"/>
        </w:rPr>
        <w:t>criopreservado</w:t>
      </w:r>
      <w:proofErr w:type="spellEnd"/>
      <w:r w:rsidRPr="007B133D">
        <w:rPr>
          <w:b w:val="0"/>
          <w:sz w:val="20"/>
          <w:szCs w:val="20"/>
        </w:rPr>
        <w:t>, de acordo com a legislação vigente”.</w:t>
      </w:r>
    </w:p>
  </w:footnote>
  <w:footnote w:id="98">
    <w:p w14:paraId="1D992033" w14:textId="77777777" w:rsidR="00ED6932" w:rsidRPr="007B133D" w:rsidRDefault="00ED6932" w:rsidP="00157BA1">
      <w:pPr>
        <w:pStyle w:val="Ttulo1"/>
        <w:numPr>
          <w:ilvl w:val="0"/>
          <w:numId w:val="0"/>
        </w:numPr>
        <w:spacing w:line="240" w:lineRule="auto"/>
        <w:ind w:left="284" w:hanging="284"/>
        <w:rPr>
          <w:b w:val="0"/>
          <w:sz w:val="20"/>
          <w:szCs w:val="20"/>
        </w:rPr>
      </w:pPr>
      <w:r w:rsidRPr="007B133D">
        <w:rPr>
          <w:rStyle w:val="Refdenotaderodap"/>
          <w:b w:val="0"/>
          <w:sz w:val="20"/>
          <w:szCs w:val="20"/>
        </w:rPr>
        <w:footnoteRef/>
      </w:r>
      <w:r w:rsidRPr="007B133D">
        <w:rPr>
          <w:b w:val="0"/>
          <w:sz w:val="20"/>
          <w:szCs w:val="20"/>
        </w:rPr>
        <w:t xml:space="preserve"> Resolução do Conselho Federal de Medicina n° 2168/2017, Capítulo V, item 3.</w:t>
      </w:r>
    </w:p>
  </w:footnote>
  <w:footnote w:id="99">
    <w:p w14:paraId="1674FA2E" w14:textId="77777777" w:rsidR="00ED6932" w:rsidRPr="007B133D" w:rsidRDefault="00ED6932" w:rsidP="00157BA1">
      <w:pPr>
        <w:pStyle w:val="Ttulo1"/>
        <w:numPr>
          <w:ilvl w:val="0"/>
          <w:numId w:val="0"/>
        </w:numPr>
        <w:spacing w:line="240" w:lineRule="auto"/>
        <w:ind w:left="284" w:hanging="284"/>
        <w:rPr>
          <w:b w:val="0"/>
          <w:sz w:val="20"/>
          <w:szCs w:val="20"/>
        </w:rPr>
      </w:pPr>
      <w:r w:rsidRPr="007B133D">
        <w:rPr>
          <w:rStyle w:val="Refdenotaderodap"/>
          <w:b w:val="0"/>
          <w:sz w:val="20"/>
          <w:szCs w:val="20"/>
        </w:rPr>
        <w:footnoteRef/>
      </w:r>
      <w:r w:rsidRPr="007B133D">
        <w:rPr>
          <w:b w:val="0"/>
          <w:sz w:val="20"/>
          <w:szCs w:val="20"/>
        </w:rPr>
        <w:t xml:space="preserve"> SANTOS, Reinaldo Velloso dos – </w:t>
      </w:r>
      <w:r w:rsidRPr="007B133D">
        <w:rPr>
          <w:bCs w:val="0"/>
          <w:sz w:val="20"/>
          <w:szCs w:val="20"/>
        </w:rPr>
        <w:t>Registro Civil das Pessoas Naturais.</w:t>
      </w:r>
      <w:r w:rsidRPr="007B133D">
        <w:rPr>
          <w:b w:val="0"/>
          <w:sz w:val="20"/>
          <w:szCs w:val="20"/>
        </w:rPr>
        <w:t xml:space="preserve"> Porto Alegre: Sergio </w:t>
      </w:r>
      <w:proofErr w:type="spellStart"/>
      <w:r w:rsidRPr="007B133D">
        <w:rPr>
          <w:b w:val="0"/>
          <w:sz w:val="20"/>
          <w:szCs w:val="20"/>
        </w:rPr>
        <w:t>Antonio</w:t>
      </w:r>
      <w:proofErr w:type="spellEnd"/>
      <w:r w:rsidRPr="007B133D">
        <w:rPr>
          <w:b w:val="0"/>
          <w:sz w:val="20"/>
          <w:szCs w:val="20"/>
        </w:rPr>
        <w:t xml:space="preserve"> Fabris, 2006, p. 49.</w:t>
      </w:r>
    </w:p>
  </w:footnote>
  <w:footnote w:id="100">
    <w:p w14:paraId="20AE6C49" w14:textId="77777777" w:rsidR="00ED6932" w:rsidRPr="007B133D" w:rsidRDefault="00ED6932" w:rsidP="00157BA1">
      <w:pPr>
        <w:pStyle w:val="Ttulo1"/>
        <w:numPr>
          <w:ilvl w:val="0"/>
          <w:numId w:val="0"/>
        </w:numPr>
        <w:spacing w:line="240" w:lineRule="auto"/>
        <w:ind w:left="284" w:hanging="284"/>
        <w:rPr>
          <w:b w:val="0"/>
          <w:sz w:val="20"/>
          <w:szCs w:val="20"/>
        </w:rPr>
      </w:pPr>
      <w:r w:rsidRPr="007B133D">
        <w:rPr>
          <w:rStyle w:val="Refdenotaderodap"/>
          <w:b w:val="0"/>
          <w:sz w:val="20"/>
          <w:szCs w:val="20"/>
        </w:rPr>
        <w:footnoteRef/>
      </w:r>
      <w:r w:rsidRPr="007B133D">
        <w:rPr>
          <w:b w:val="0"/>
          <w:sz w:val="20"/>
          <w:szCs w:val="20"/>
        </w:rPr>
        <w:t xml:space="preserve"> FARIAS, Cristiano Chaves de; ROSENVALD, Nelson - </w:t>
      </w:r>
      <w:r w:rsidRPr="007B133D">
        <w:rPr>
          <w:bCs w:val="0"/>
          <w:sz w:val="20"/>
          <w:szCs w:val="20"/>
        </w:rPr>
        <w:t>Curso de Direito Civil: Famílias.</w:t>
      </w:r>
      <w:r w:rsidRPr="007B133D">
        <w:rPr>
          <w:b w:val="0"/>
          <w:sz w:val="20"/>
          <w:szCs w:val="20"/>
        </w:rPr>
        <w:t xml:space="preserve"> Volume 6. 7ª edição. São Paulo: Editora Atlas, 2015, p. 603.</w:t>
      </w:r>
    </w:p>
  </w:footnote>
  <w:footnote w:id="101">
    <w:p w14:paraId="5E7D017D" w14:textId="77777777" w:rsidR="00ED6932" w:rsidRPr="007B133D" w:rsidRDefault="00ED6932" w:rsidP="00157BA1">
      <w:pPr>
        <w:pStyle w:val="Ttulo1"/>
        <w:numPr>
          <w:ilvl w:val="0"/>
          <w:numId w:val="0"/>
        </w:numPr>
        <w:spacing w:line="240" w:lineRule="auto"/>
        <w:ind w:left="284" w:hanging="284"/>
        <w:rPr>
          <w:sz w:val="20"/>
          <w:szCs w:val="20"/>
        </w:rPr>
      </w:pPr>
      <w:r w:rsidRPr="007B133D">
        <w:rPr>
          <w:rStyle w:val="Refdenotaderodap"/>
          <w:b w:val="0"/>
          <w:sz w:val="20"/>
          <w:szCs w:val="20"/>
        </w:rPr>
        <w:footnoteRef/>
      </w:r>
      <w:r w:rsidRPr="007B133D">
        <w:rPr>
          <w:b w:val="0"/>
          <w:sz w:val="20"/>
          <w:szCs w:val="20"/>
        </w:rPr>
        <w:t xml:space="preserve"> CAMARGO NETO, Mario de Carvalho; OLIVEIRA, Marcelo </w:t>
      </w:r>
      <w:proofErr w:type="spellStart"/>
      <w:r w:rsidRPr="007B133D">
        <w:rPr>
          <w:b w:val="0"/>
          <w:sz w:val="20"/>
          <w:szCs w:val="20"/>
        </w:rPr>
        <w:t>Salaroli</w:t>
      </w:r>
      <w:proofErr w:type="spellEnd"/>
      <w:r w:rsidRPr="007B133D">
        <w:rPr>
          <w:b w:val="0"/>
          <w:sz w:val="20"/>
          <w:szCs w:val="20"/>
        </w:rPr>
        <w:t xml:space="preserve"> de - </w:t>
      </w:r>
      <w:r w:rsidRPr="007B133D">
        <w:rPr>
          <w:bCs w:val="0"/>
          <w:sz w:val="20"/>
          <w:szCs w:val="20"/>
        </w:rPr>
        <w:t>Registro Civil das Pessoas Naturais I.</w:t>
      </w:r>
      <w:r w:rsidRPr="007B133D">
        <w:rPr>
          <w:b w:val="0"/>
          <w:sz w:val="20"/>
          <w:szCs w:val="20"/>
        </w:rPr>
        <w:t xml:space="preserve"> São Paulo: Saraiva, 2014, p. 241.</w:t>
      </w:r>
    </w:p>
  </w:footnote>
  <w:footnote w:id="102">
    <w:p w14:paraId="7CAEF17F" w14:textId="77777777" w:rsidR="00ED6932" w:rsidRPr="007B133D" w:rsidRDefault="00ED6932" w:rsidP="00157BA1">
      <w:pPr>
        <w:pStyle w:val="Ttulo1"/>
        <w:numPr>
          <w:ilvl w:val="0"/>
          <w:numId w:val="0"/>
        </w:numPr>
        <w:spacing w:line="240" w:lineRule="auto"/>
        <w:ind w:left="284" w:hanging="284"/>
        <w:rPr>
          <w:b w:val="0"/>
          <w:bCs w:val="0"/>
          <w:sz w:val="20"/>
          <w:szCs w:val="20"/>
        </w:rPr>
      </w:pPr>
      <w:r w:rsidRPr="007B133D">
        <w:rPr>
          <w:rStyle w:val="Refdenotaderodap"/>
          <w:b w:val="0"/>
          <w:bCs w:val="0"/>
          <w:sz w:val="20"/>
          <w:szCs w:val="20"/>
        </w:rPr>
        <w:footnoteRef/>
      </w:r>
      <w:r w:rsidRPr="007B133D">
        <w:rPr>
          <w:b w:val="0"/>
          <w:bCs w:val="0"/>
          <w:sz w:val="20"/>
          <w:szCs w:val="20"/>
        </w:rPr>
        <w:t xml:space="preserve"> AMARAL, Jorge Augusto Pais de – </w:t>
      </w:r>
      <w:r w:rsidRPr="007B133D">
        <w:rPr>
          <w:sz w:val="20"/>
          <w:szCs w:val="20"/>
        </w:rPr>
        <w:t>Direito da Família e das Sucessões</w:t>
      </w:r>
      <w:r w:rsidRPr="007B133D">
        <w:rPr>
          <w:b w:val="0"/>
          <w:bCs w:val="0"/>
          <w:sz w:val="20"/>
          <w:szCs w:val="20"/>
        </w:rPr>
        <w:t>. Coimbra: Almedina, 2016, p. 207. ISBN 978-972-40-6742-1.</w:t>
      </w:r>
    </w:p>
  </w:footnote>
  <w:footnote w:id="103">
    <w:p w14:paraId="5E739437" w14:textId="77777777" w:rsidR="00ED6932" w:rsidRPr="007B133D" w:rsidRDefault="00ED6932" w:rsidP="00157BA1">
      <w:pPr>
        <w:pStyle w:val="Ttulo1"/>
        <w:numPr>
          <w:ilvl w:val="0"/>
          <w:numId w:val="0"/>
        </w:numPr>
        <w:spacing w:line="240" w:lineRule="auto"/>
        <w:ind w:left="284" w:hanging="284"/>
        <w:rPr>
          <w:b w:val="0"/>
          <w:bCs w:val="0"/>
          <w:sz w:val="20"/>
          <w:szCs w:val="20"/>
        </w:rPr>
      </w:pPr>
      <w:r w:rsidRPr="007B133D">
        <w:rPr>
          <w:rStyle w:val="Refdenotaderodap"/>
          <w:b w:val="0"/>
          <w:bCs w:val="0"/>
          <w:sz w:val="20"/>
          <w:szCs w:val="20"/>
        </w:rPr>
        <w:footnoteRef/>
      </w:r>
      <w:r w:rsidRPr="007B133D">
        <w:rPr>
          <w:b w:val="0"/>
          <w:bCs w:val="0"/>
          <w:sz w:val="20"/>
          <w:szCs w:val="20"/>
        </w:rPr>
        <w:t xml:space="preserve"> PELUSO, Cezar (coord.) – </w:t>
      </w:r>
      <w:r w:rsidRPr="007B133D">
        <w:rPr>
          <w:sz w:val="20"/>
          <w:szCs w:val="20"/>
        </w:rPr>
        <w:t>Código Civil comentado: Doutrina e Jurisprudência.</w:t>
      </w:r>
      <w:r w:rsidRPr="007B133D">
        <w:rPr>
          <w:b w:val="0"/>
          <w:bCs w:val="0"/>
          <w:sz w:val="20"/>
          <w:szCs w:val="20"/>
        </w:rPr>
        <w:t xml:space="preserve"> Barueri/SP: Manole, 2010, p. 1813.</w:t>
      </w:r>
    </w:p>
  </w:footnote>
  <w:footnote w:id="104">
    <w:p w14:paraId="1309DE38" w14:textId="5F3CBFDB" w:rsidR="00ED6932" w:rsidRPr="007B133D" w:rsidRDefault="00ED6932" w:rsidP="00157BA1">
      <w:pPr>
        <w:pStyle w:val="Ttulo1"/>
        <w:numPr>
          <w:ilvl w:val="0"/>
          <w:numId w:val="0"/>
        </w:numPr>
        <w:spacing w:line="240" w:lineRule="auto"/>
        <w:ind w:left="284" w:hanging="284"/>
        <w:rPr>
          <w:b w:val="0"/>
          <w:bCs w:val="0"/>
          <w:sz w:val="20"/>
          <w:szCs w:val="20"/>
        </w:rPr>
      </w:pPr>
      <w:r w:rsidRPr="007B133D">
        <w:rPr>
          <w:rStyle w:val="Refdenotaderodap"/>
          <w:b w:val="0"/>
          <w:bCs w:val="0"/>
          <w:sz w:val="20"/>
          <w:szCs w:val="20"/>
        </w:rPr>
        <w:footnoteRef/>
      </w:r>
      <w:r w:rsidRPr="007B133D">
        <w:rPr>
          <w:b w:val="0"/>
          <w:bCs w:val="0"/>
          <w:sz w:val="20"/>
          <w:szCs w:val="20"/>
        </w:rPr>
        <w:t xml:space="preserve"> PEREIRA, Caio Mario da Silva – </w:t>
      </w:r>
      <w:r w:rsidRPr="00FA44CA">
        <w:rPr>
          <w:i/>
          <w:iCs/>
          <w:sz w:val="20"/>
          <w:szCs w:val="20"/>
        </w:rPr>
        <w:t>Op. Cit.</w:t>
      </w:r>
      <w:r w:rsidRPr="007B133D">
        <w:rPr>
          <w:b w:val="0"/>
          <w:bCs w:val="0"/>
          <w:sz w:val="20"/>
          <w:szCs w:val="20"/>
        </w:rPr>
        <w:t xml:space="preserve"> p. 412.</w:t>
      </w:r>
    </w:p>
  </w:footnote>
  <w:footnote w:id="105">
    <w:p w14:paraId="7C9ED4D2" w14:textId="77777777" w:rsidR="00ED6932" w:rsidRPr="007B133D" w:rsidRDefault="00ED6932" w:rsidP="00157BA1">
      <w:pPr>
        <w:pStyle w:val="Ttulo1"/>
        <w:numPr>
          <w:ilvl w:val="0"/>
          <w:numId w:val="0"/>
        </w:numPr>
        <w:spacing w:line="240" w:lineRule="auto"/>
        <w:ind w:left="284" w:hanging="284"/>
        <w:rPr>
          <w:b w:val="0"/>
          <w:bCs w:val="0"/>
          <w:sz w:val="20"/>
          <w:szCs w:val="20"/>
        </w:rPr>
      </w:pPr>
      <w:r w:rsidRPr="007B133D">
        <w:rPr>
          <w:rStyle w:val="Refdenotaderodap"/>
          <w:b w:val="0"/>
          <w:bCs w:val="0"/>
          <w:sz w:val="20"/>
          <w:szCs w:val="20"/>
        </w:rPr>
        <w:footnoteRef/>
      </w:r>
      <w:r w:rsidRPr="007B133D">
        <w:rPr>
          <w:b w:val="0"/>
          <w:bCs w:val="0"/>
          <w:sz w:val="20"/>
          <w:szCs w:val="20"/>
        </w:rPr>
        <w:t xml:space="preserve"> SUPERIOR Tribunal de Justiça – Recurso Especial n° 878.941/DF, 3ª turma, de 21 de agosto de 2007. Relatora Nancy </w:t>
      </w:r>
      <w:proofErr w:type="spellStart"/>
      <w:r w:rsidRPr="007B133D">
        <w:rPr>
          <w:b w:val="0"/>
          <w:bCs w:val="0"/>
          <w:sz w:val="20"/>
          <w:szCs w:val="20"/>
        </w:rPr>
        <w:t>Andrighi</w:t>
      </w:r>
      <w:proofErr w:type="spellEnd"/>
      <w:r w:rsidRPr="007B133D">
        <w:rPr>
          <w:b w:val="0"/>
          <w:bCs w:val="0"/>
          <w:sz w:val="20"/>
          <w:szCs w:val="20"/>
        </w:rPr>
        <w:t>.</w:t>
      </w:r>
    </w:p>
  </w:footnote>
  <w:footnote w:id="106">
    <w:p w14:paraId="74576B41" w14:textId="77777777" w:rsidR="00ED6932" w:rsidRPr="007B133D" w:rsidRDefault="00ED6932" w:rsidP="00157BA1">
      <w:pPr>
        <w:pStyle w:val="Ttulo1"/>
        <w:numPr>
          <w:ilvl w:val="0"/>
          <w:numId w:val="0"/>
        </w:numPr>
        <w:spacing w:line="240" w:lineRule="auto"/>
        <w:ind w:left="284" w:hanging="284"/>
        <w:rPr>
          <w:b w:val="0"/>
          <w:bCs w:val="0"/>
          <w:sz w:val="20"/>
          <w:szCs w:val="20"/>
        </w:rPr>
      </w:pPr>
      <w:r w:rsidRPr="007B133D">
        <w:rPr>
          <w:rStyle w:val="Refdenotaderodap"/>
          <w:b w:val="0"/>
          <w:bCs w:val="0"/>
          <w:sz w:val="20"/>
          <w:szCs w:val="20"/>
        </w:rPr>
        <w:footnoteRef/>
      </w:r>
      <w:r w:rsidRPr="007B133D">
        <w:rPr>
          <w:b w:val="0"/>
          <w:bCs w:val="0"/>
          <w:sz w:val="20"/>
          <w:szCs w:val="20"/>
        </w:rPr>
        <w:t xml:space="preserve"> BEVILAQUA, Clóvis – </w:t>
      </w:r>
      <w:r w:rsidRPr="007B133D">
        <w:rPr>
          <w:sz w:val="20"/>
          <w:szCs w:val="20"/>
        </w:rPr>
        <w:t>Código Civil dos Estados Unidos do Brasil Comentado.</w:t>
      </w:r>
      <w:r w:rsidRPr="007B133D">
        <w:rPr>
          <w:b w:val="0"/>
          <w:bCs w:val="0"/>
          <w:sz w:val="20"/>
          <w:szCs w:val="20"/>
        </w:rPr>
        <w:t xml:space="preserve"> Volume II. 12ª edição. São Paulo: Editora Paulo de Azevedo Ltda, 1960, p. 260-261.   </w:t>
      </w:r>
    </w:p>
  </w:footnote>
  <w:footnote w:id="107">
    <w:p w14:paraId="58BA9D44" w14:textId="77777777" w:rsidR="00ED6932" w:rsidRPr="007B133D" w:rsidRDefault="00ED6932" w:rsidP="00157BA1">
      <w:pPr>
        <w:pStyle w:val="Ttulo1"/>
        <w:numPr>
          <w:ilvl w:val="0"/>
          <w:numId w:val="0"/>
        </w:numPr>
        <w:spacing w:line="240" w:lineRule="auto"/>
        <w:ind w:left="284" w:hanging="284"/>
        <w:rPr>
          <w:b w:val="0"/>
          <w:bCs w:val="0"/>
          <w:sz w:val="20"/>
          <w:szCs w:val="20"/>
        </w:rPr>
      </w:pPr>
      <w:r w:rsidRPr="007B133D">
        <w:rPr>
          <w:rStyle w:val="Refdenotaderodap"/>
          <w:b w:val="0"/>
          <w:bCs w:val="0"/>
          <w:sz w:val="20"/>
          <w:szCs w:val="20"/>
        </w:rPr>
        <w:footnoteRef/>
      </w:r>
      <w:r w:rsidRPr="007B133D">
        <w:rPr>
          <w:b w:val="0"/>
          <w:bCs w:val="0"/>
          <w:sz w:val="20"/>
          <w:szCs w:val="20"/>
        </w:rPr>
        <w:t xml:space="preserve"> MARTINS, Samir José Caetano – A recusa do filho natural ao reconhecimento voluntário de paternidade. </w:t>
      </w:r>
      <w:r w:rsidRPr="007B133D">
        <w:rPr>
          <w:sz w:val="20"/>
          <w:szCs w:val="20"/>
        </w:rPr>
        <w:t>Revista do Ministério Público.</w:t>
      </w:r>
      <w:r w:rsidRPr="007B133D">
        <w:rPr>
          <w:b w:val="0"/>
          <w:bCs w:val="0"/>
          <w:sz w:val="20"/>
          <w:szCs w:val="20"/>
        </w:rPr>
        <w:t xml:space="preserve"> Rio de Janeiro: Ministério Público, n° 16 (</w:t>
      </w:r>
      <w:proofErr w:type="spellStart"/>
      <w:r w:rsidRPr="007B133D">
        <w:rPr>
          <w:b w:val="0"/>
          <w:bCs w:val="0"/>
          <w:sz w:val="20"/>
          <w:szCs w:val="20"/>
        </w:rPr>
        <w:t>jul</w:t>
      </w:r>
      <w:proofErr w:type="spellEnd"/>
      <w:r w:rsidRPr="007B133D">
        <w:rPr>
          <w:b w:val="0"/>
          <w:bCs w:val="0"/>
          <w:sz w:val="20"/>
          <w:szCs w:val="20"/>
        </w:rPr>
        <w:t>/dez 2002), p. 172-173.</w:t>
      </w:r>
    </w:p>
  </w:footnote>
  <w:footnote w:id="108">
    <w:p w14:paraId="0A300EE6" w14:textId="77777777" w:rsidR="00ED6932" w:rsidRPr="007B133D" w:rsidRDefault="00ED6932" w:rsidP="00157BA1">
      <w:pPr>
        <w:pStyle w:val="Textodenotaderodap"/>
        <w:spacing w:line="240" w:lineRule="auto"/>
        <w:ind w:left="284" w:hanging="284"/>
        <w:rPr>
          <w:rFonts w:cs="Times New Roman"/>
          <w:b w:val="0"/>
        </w:rPr>
      </w:pPr>
      <w:r w:rsidRPr="007B133D">
        <w:rPr>
          <w:rStyle w:val="Refdenotaderodap"/>
          <w:rFonts w:cs="Times New Roman"/>
          <w:b w:val="0"/>
        </w:rPr>
        <w:footnoteRef/>
      </w:r>
      <w:r w:rsidRPr="007B133D">
        <w:rPr>
          <w:rFonts w:cs="Times New Roman"/>
          <w:b w:val="0"/>
        </w:rPr>
        <w:t xml:space="preserve"> SOUZA, Lígia </w:t>
      </w:r>
      <w:proofErr w:type="spellStart"/>
      <w:r w:rsidRPr="007B133D">
        <w:rPr>
          <w:rFonts w:cs="Times New Roman"/>
          <w:b w:val="0"/>
        </w:rPr>
        <w:t>Arlé</w:t>
      </w:r>
      <w:proofErr w:type="spellEnd"/>
      <w:r w:rsidRPr="007B133D">
        <w:rPr>
          <w:rFonts w:cs="Times New Roman"/>
          <w:b w:val="0"/>
        </w:rPr>
        <w:t xml:space="preserve"> Ribeiro de - </w:t>
      </w:r>
      <w:r w:rsidRPr="007B133D">
        <w:rPr>
          <w:rFonts w:cs="Times New Roman"/>
          <w:bCs/>
        </w:rPr>
        <w:t xml:space="preserve">A importância das serventias extrajudiciais no processo de desjudicialização. </w:t>
      </w:r>
      <w:r w:rsidRPr="007B133D">
        <w:rPr>
          <w:rFonts w:cs="Times New Roman"/>
          <w:b w:val="0"/>
        </w:rPr>
        <w:t>[Em linha]. [</w:t>
      </w:r>
      <w:proofErr w:type="spellStart"/>
      <w:r w:rsidRPr="007B133D">
        <w:rPr>
          <w:rFonts w:cs="Times New Roman"/>
          <w:b w:val="0"/>
        </w:rPr>
        <w:t>sl</w:t>
      </w:r>
      <w:proofErr w:type="spellEnd"/>
      <w:r w:rsidRPr="007B133D">
        <w:rPr>
          <w:rFonts w:cs="Times New Roman"/>
          <w:b w:val="0"/>
        </w:rPr>
        <w:t>.] [</w:t>
      </w:r>
      <w:proofErr w:type="spellStart"/>
      <w:r w:rsidRPr="007B133D">
        <w:rPr>
          <w:rFonts w:cs="Times New Roman"/>
          <w:b w:val="0"/>
        </w:rPr>
        <w:t>sn</w:t>
      </w:r>
      <w:proofErr w:type="spellEnd"/>
      <w:r w:rsidRPr="007B133D">
        <w:rPr>
          <w:rFonts w:cs="Times New Roman"/>
          <w:b w:val="0"/>
        </w:rPr>
        <w:t>.] (outubro 2011). [</w:t>
      </w:r>
      <w:proofErr w:type="spellStart"/>
      <w:r w:rsidRPr="007B133D">
        <w:rPr>
          <w:rFonts w:cs="Times New Roman"/>
          <w:b w:val="0"/>
        </w:rPr>
        <w:t>Consult</w:t>
      </w:r>
      <w:proofErr w:type="spellEnd"/>
      <w:r w:rsidRPr="007B133D">
        <w:rPr>
          <w:rFonts w:cs="Times New Roman"/>
          <w:b w:val="0"/>
        </w:rPr>
        <w:t xml:space="preserve">. 18 jan. 2019]. Disponível em https://jus.com.br/artigos/20242/a-importancia-das-serventias-extrajudicias-no-processo-de-desjudicializacao/1. </w:t>
      </w:r>
    </w:p>
  </w:footnote>
  <w:footnote w:id="109">
    <w:p w14:paraId="70B8552F" w14:textId="77777777" w:rsidR="00ED6932" w:rsidRPr="007B133D" w:rsidRDefault="00ED6932" w:rsidP="00157BA1">
      <w:pPr>
        <w:spacing w:line="240" w:lineRule="auto"/>
        <w:ind w:left="284" w:hanging="284"/>
        <w:rPr>
          <w:rFonts w:cs="Times New Roman"/>
          <w:b w:val="0"/>
          <w:sz w:val="20"/>
          <w:szCs w:val="20"/>
        </w:rPr>
      </w:pPr>
      <w:r w:rsidRPr="007B133D">
        <w:rPr>
          <w:rStyle w:val="Refdenotaderodap"/>
          <w:rFonts w:cs="Times New Roman"/>
          <w:b w:val="0"/>
          <w:sz w:val="20"/>
          <w:szCs w:val="20"/>
        </w:rPr>
        <w:footnoteRef/>
      </w:r>
      <w:r w:rsidRPr="007B133D">
        <w:rPr>
          <w:rFonts w:cs="Times New Roman"/>
          <w:b w:val="0"/>
          <w:sz w:val="20"/>
          <w:szCs w:val="20"/>
        </w:rPr>
        <w:t xml:space="preserve"> RIBEIRO, </w:t>
      </w:r>
      <w:proofErr w:type="spellStart"/>
      <w:r w:rsidRPr="007B133D">
        <w:rPr>
          <w:rFonts w:cs="Times New Roman"/>
          <w:b w:val="0"/>
          <w:sz w:val="20"/>
          <w:szCs w:val="20"/>
        </w:rPr>
        <w:t>Luis</w:t>
      </w:r>
      <w:proofErr w:type="spellEnd"/>
      <w:r w:rsidRPr="007B133D">
        <w:rPr>
          <w:rFonts w:cs="Times New Roman"/>
          <w:b w:val="0"/>
          <w:sz w:val="20"/>
          <w:szCs w:val="20"/>
        </w:rPr>
        <w:t xml:space="preserve"> Paulo </w:t>
      </w:r>
      <w:proofErr w:type="spellStart"/>
      <w:r w:rsidRPr="007B133D">
        <w:rPr>
          <w:rFonts w:cs="Times New Roman"/>
          <w:b w:val="0"/>
          <w:sz w:val="20"/>
          <w:szCs w:val="20"/>
        </w:rPr>
        <w:t>Aliende</w:t>
      </w:r>
      <w:proofErr w:type="spellEnd"/>
      <w:r w:rsidRPr="007B133D">
        <w:rPr>
          <w:rFonts w:cs="Times New Roman"/>
          <w:b w:val="0"/>
          <w:sz w:val="20"/>
          <w:szCs w:val="20"/>
        </w:rPr>
        <w:t xml:space="preserve"> - </w:t>
      </w:r>
      <w:r w:rsidRPr="007B133D">
        <w:rPr>
          <w:rFonts w:cs="Times New Roman"/>
          <w:bCs/>
          <w:iCs/>
          <w:sz w:val="20"/>
          <w:szCs w:val="20"/>
        </w:rPr>
        <w:t>Regulação da função pública notarial e registral.</w:t>
      </w:r>
      <w:r w:rsidRPr="007B133D">
        <w:rPr>
          <w:rFonts w:cs="Times New Roman"/>
          <w:b w:val="0"/>
          <w:iCs/>
          <w:sz w:val="20"/>
          <w:szCs w:val="20"/>
        </w:rPr>
        <w:t xml:space="preserve"> São Paulo: Saraiva, 20</w:t>
      </w:r>
      <w:r w:rsidRPr="007B133D">
        <w:rPr>
          <w:rFonts w:cs="Times New Roman"/>
          <w:b w:val="0"/>
          <w:sz w:val="20"/>
          <w:szCs w:val="20"/>
        </w:rPr>
        <w:t>09, p.1.</w:t>
      </w:r>
    </w:p>
    <w:p w14:paraId="6AA8DECA" w14:textId="77777777" w:rsidR="00ED6932" w:rsidRPr="007B133D" w:rsidRDefault="00ED6932" w:rsidP="00157BA1">
      <w:pPr>
        <w:pStyle w:val="Textodenotaderodap"/>
        <w:spacing w:line="240" w:lineRule="auto"/>
        <w:ind w:left="284" w:hanging="284"/>
        <w:rPr>
          <w:rFonts w:cs="Times New Roman"/>
          <w:b w:val="0"/>
        </w:rPr>
      </w:pPr>
    </w:p>
  </w:footnote>
  <w:footnote w:id="110">
    <w:p w14:paraId="6B77C8D1" w14:textId="77777777" w:rsidR="00ED6932" w:rsidRPr="007B133D" w:rsidRDefault="00ED6932" w:rsidP="00157BA1">
      <w:pPr>
        <w:spacing w:line="240" w:lineRule="auto"/>
        <w:ind w:left="284" w:hanging="284"/>
        <w:rPr>
          <w:rFonts w:cs="Times New Roman"/>
          <w:b w:val="0"/>
          <w:sz w:val="20"/>
          <w:szCs w:val="20"/>
        </w:rPr>
      </w:pPr>
      <w:r w:rsidRPr="007B133D">
        <w:rPr>
          <w:rStyle w:val="Refdenotaderodap"/>
          <w:rFonts w:cs="Times New Roman"/>
          <w:b w:val="0"/>
          <w:sz w:val="20"/>
          <w:szCs w:val="20"/>
        </w:rPr>
        <w:footnoteRef/>
      </w:r>
      <w:r w:rsidRPr="007B133D">
        <w:rPr>
          <w:rFonts w:cs="Times New Roman"/>
          <w:b w:val="0"/>
          <w:sz w:val="20"/>
          <w:szCs w:val="20"/>
        </w:rPr>
        <w:t xml:space="preserve"> ORLANDI NETO, Narciso - Atividade Notarial – Noções. In Ricardo </w:t>
      </w:r>
      <w:proofErr w:type="spellStart"/>
      <w:r w:rsidRPr="007B133D">
        <w:rPr>
          <w:rFonts w:cs="Times New Roman"/>
          <w:b w:val="0"/>
          <w:sz w:val="20"/>
          <w:szCs w:val="20"/>
        </w:rPr>
        <w:t>Dip</w:t>
      </w:r>
      <w:proofErr w:type="spellEnd"/>
      <w:r w:rsidRPr="007B133D">
        <w:rPr>
          <w:rFonts w:cs="Times New Roman"/>
          <w:b w:val="0"/>
          <w:sz w:val="20"/>
          <w:szCs w:val="20"/>
        </w:rPr>
        <w:t xml:space="preserve"> (Coord.) - </w:t>
      </w:r>
      <w:r w:rsidRPr="007B133D">
        <w:rPr>
          <w:rFonts w:cs="Times New Roman"/>
          <w:bCs/>
          <w:sz w:val="20"/>
          <w:szCs w:val="20"/>
        </w:rPr>
        <w:t>Introdução ao Direito Notarial e Registral</w:t>
      </w:r>
      <w:r w:rsidRPr="007B133D">
        <w:rPr>
          <w:rFonts w:cs="Times New Roman"/>
          <w:b w:val="0"/>
          <w:sz w:val="20"/>
          <w:szCs w:val="20"/>
        </w:rPr>
        <w:t xml:space="preserve">. Porto Alegre: Sergio </w:t>
      </w:r>
      <w:proofErr w:type="spellStart"/>
      <w:r w:rsidRPr="007B133D">
        <w:rPr>
          <w:rFonts w:cs="Times New Roman"/>
          <w:b w:val="0"/>
          <w:sz w:val="20"/>
          <w:szCs w:val="20"/>
        </w:rPr>
        <w:t>Antonio</w:t>
      </w:r>
      <w:proofErr w:type="spellEnd"/>
      <w:r w:rsidRPr="007B133D">
        <w:rPr>
          <w:rFonts w:cs="Times New Roman"/>
          <w:b w:val="0"/>
          <w:sz w:val="20"/>
          <w:szCs w:val="20"/>
        </w:rPr>
        <w:t xml:space="preserve"> Fabris Editor, 2004, p. 13. ISBN 857525281X.</w:t>
      </w:r>
    </w:p>
  </w:footnote>
  <w:footnote w:id="111">
    <w:p w14:paraId="6D5FE72B" w14:textId="274E2330" w:rsidR="00ED6932" w:rsidRPr="007B133D" w:rsidRDefault="00ED6932" w:rsidP="00157BA1">
      <w:pPr>
        <w:spacing w:line="240" w:lineRule="auto"/>
        <w:ind w:left="284" w:hanging="284"/>
        <w:rPr>
          <w:rFonts w:cs="Times New Roman"/>
          <w:b w:val="0"/>
          <w:sz w:val="20"/>
          <w:szCs w:val="20"/>
        </w:rPr>
      </w:pPr>
      <w:r w:rsidRPr="007B133D">
        <w:rPr>
          <w:rStyle w:val="Refdenotaderodap"/>
          <w:rFonts w:cs="Times New Roman"/>
          <w:b w:val="0"/>
          <w:sz w:val="20"/>
          <w:szCs w:val="20"/>
        </w:rPr>
        <w:footnoteRef/>
      </w:r>
      <w:r w:rsidRPr="007B133D">
        <w:rPr>
          <w:rFonts w:cs="Times New Roman"/>
          <w:b w:val="0"/>
          <w:sz w:val="20"/>
          <w:szCs w:val="20"/>
        </w:rPr>
        <w:t xml:space="preserve"> </w:t>
      </w:r>
      <w:r w:rsidRPr="00471B25">
        <w:rPr>
          <w:rFonts w:cs="Times New Roman"/>
          <w:b w:val="0"/>
          <w:i/>
          <w:iCs/>
          <w:sz w:val="20"/>
          <w:szCs w:val="20"/>
        </w:rPr>
        <w:t>Idem</w:t>
      </w:r>
      <w:r w:rsidRPr="007B133D">
        <w:rPr>
          <w:rFonts w:cs="Times New Roman"/>
          <w:b w:val="0"/>
          <w:sz w:val="20"/>
          <w:szCs w:val="20"/>
        </w:rPr>
        <w:t xml:space="preserve"> - Serviços notariais e de registro. In FREITAS, Vladimir Passos de (Coord.) -</w:t>
      </w:r>
      <w:r w:rsidRPr="007B133D">
        <w:rPr>
          <w:rFonts w:cs="Times New Roman"/>
          <w:bCs/>
          <w:sz w:val="20"/>
          <w:szCs w:val="20"/>
        </w:rPr>
        <w:t>Corregedorias do poder judiciário.</w:t>
      </w:r>
      <w:r w:rsidRPr="007B133D">
        <w:rPr>
          <w:rFonts w:cs="Times New Roman"/>
          <w:b w:val="0"/>
          <w:sz w:val="20"/>
          <w:szCs w:val="20"/>
        </w:rPr>
        <w:t xml:space="preserve"> São Paulo: Revista dos Tribunais, 2003, p. 333. </w:t>
      </w:r>
    </w:p>
    <w:p w14:paraId="13345688" w14:textId="77777777" w:rsidR="00ED6932" w:rsidRPr="007B133D" w:rsidRDefault="00ED6932" w:rsidP="00157BA1">
      <w:pPr>
        <w:pStyle w:val="Textodenotaderodap"/>
        <w:spacing w:line="240" w:lineRule="auto"/>
        <w:ind w:left="284" w:hanging="284"/>
        <w:rPr>
          <w:rFonts w:cs="Times New Roman"/>
          <w:b w:val="0"/>
        </w:rPr>
      </w:pPr>
    </w:p>
  </w:footnote>
  <w:footnote w:id="112">
    <w:p w14:paraId="59E86743" w14:textId="624672B5" w:rsidR="00ED6932" w:rsidRPr="007B133D" w:rsidRDefault="00ED6932" w:rsidP="00157BA1">
      <w:pPr>
        <w:spacing w:line="240" w:lineRule="auto"/>
        <w:ind w:left="284" w:hanging="284"/>
        <w:rPr>
          <w:rFonts w:cs="Times New Roman"/>
          <w:b w:val="0"/>
          <w:sz w:val="20"/>
          <w:szCs w:val="20"/>
        </w:rPr>
      </w:pPr>
      <w:r w:rsidRPr="007B133D">
        <w:rPr>
          <w:rStyle w:val="Refdenotaderodap"/>
          <w:rFonts w:cs="Times New Roman"/>
          <w:b w:val="0"/>
          <w:sz w:val="20"/>
          <w:szCs w:val="20"/>
        </w:rPr>
        <w:footnoteRef/>
      </w:r>
      <w:r w:rsidRPr="007B133D">
        <w:rPr>
          <w:rFonts w:cs="Times New Roman"/>
          <w:b w:val="0"/>
          <w:sz w:val="20"/>
          <w:szCs w:val="20"/>
        </w:rPr>
        <w:t xml:space="preserve"> RIBEIRO, </w:t>
      </w:r>
      <w:proofErr w:type="spellStart"/>
      <w:r w:rsidRPr="007B133D">
        <w:rPr>
          <w:rFonts w:cs="Times New Roman"/>
          <w:b w:val="0"/>
          <w:sz w:val="20"/>
          <w:szCs w:val="20"/>
        </w:rPr>
        <w:t>Luis</w:t>
      </w:r>
      <w:proofErr w:type="spellEnd"/>
      <w:r w:rsidRPr="007B133D">
        <w:rPr>
          <w:rFonts w:cs="Times New Roman"/>
          <w:b w:val="0"/>
          <w:sz w:val="20"/>
          <w:szCs w:val="20"/>
        </w:rPr>
        <w:t xml:space="preserve"> Paulo </w:t>
      </w:r>
      <w:proofErr w:type="spellStart"/>
      <w:r w:rsidRPr="007B133D">
        <w:rPr>
          <w:rFonts w:cs="Times New Roman"/>
          <w:b w:val="0"/>
          <w:sz w:val="20"/>
          <w:szCs w:val="20"/>
        </w:rPr>
        <w:t>Aliende</w:t>
      </w:r>
      <w:proofErr w:type="spellEnd"/>
      <w:r w:rsidRPr="007B133D">
        <w:rPr>
          <w:rFonts w:cs="Times New Roman"/>
          <w:b w:val="0"/>
          <w:sz w:val="20"/>
          <w:szCs w:val="20"/>
        </w:rPr>
        <w:t xml:space="preserve"> </w:t>
      </w:r>
      <w:r>
        <w:rPr>
          <w:rFonts w:cs="Times New Roman"/>
          <w:b w:val="0"/>
          <w:sz w:val="20"/>
          <w:szCs w:val="20"/>
        </w:rPr>
        <w:t>–</w:t>
      </w:r>
      <w:r w:rsidRPr="007B133D">
        <w:rPr>
          <w:rFonts w:cs="Times New Roman"/>
          <w:b w:val="0"/>
          <w:sz w:val="20"/>
          <w:szCs w:val="20"/>
        </w:rPr>
        <w:t xml:space="preserve"> </w:t>
      </w:r>
      <w:r w:rsidRPr="00AA295E">
        <w:rPr>
          <w:rFonts w:cs="Times New Roman"/>
          <w:bCs/>
          <w:i/>
          <w:iCs/>
          <w:sz w:val="20"/>
          <w:szCs w:val="20"/>
        </w:rPr>
        <w:t>Op. Cit.</w:t>
      </w:r>
      <w:r>
        <w:rPr>
          <w:rFonts w:cs="Times New Roman"/>
          <w:b w:val="0"/>
          <w:sz w:val="20"/>
          <w:szCs w:val="20"/>
        </w:rPr>
        <w:t xml:space="preserve"> </w:t>
      </w:r>
      <w:r w:rsidRPr="007B133D">
        <w:rPr>
          <w:rFonts w:cs="Times New Roman"/>
          <w:b w:val="0"/>
          <w:sz w:val="20"/>
          <w:szCs w:val="20"/>
        </w:rPr>
        <w:t>p. 138.</w:t>
      </w:r>
    </w:p>
    <w:p w14:paraId="43CE5699" w14:textId="77777777" w:rsidR="00ED6932" w:rsidRPr="007B133D" w:rsidRDefault="00ED6932" w:rsidP="00157BA1">
      <w:pPr>
        <w:pStyle w:val="Textodenotaderodap"/>
        <w:spacing w:line="240" w:lineRule="auto"/>
        <w:ind w:left="284" w:hanging="284"/>
        <w:rPr>
          <w:rFonts w:cs="Times New Roman"/>
          <w:b w:val="0"/>
        </w:rPr>
      </w:pPr>
    </w:p>
  </w:footnote>
  <w:footnote w:id="113">
    <w:p w14:paraId="5DDCFC94" w14:textId="77777777" w:rsidR="00ED6932" w:rsidRPr="007B133D" w:rsidRDefault="00ED6932" w:rsidP="00157BA1">
      <w:pPr>
        <w:pStyle w:val="Ttulo1"/>
        <w:numPr>
          <w:ilvl w:val="0"/>
          <w:numId w:val="0"/>
        </w:numPr>
        <w:spacing w:line="240" w:lineRule="auto"/>
        <w:ind w:left="284" w:hanging="284"/>
        <w:rPr>
          <w:b w:val="0"/>
          <w:bCs w:val="0"/>
          <w:sz w:val="20"/>
          <w:szCs w:val="20"/>
        </w:rPr>
      </w:pPr>
      <w:r w:rsidRPr="007B133D">
        <w:rPr>
          <w:rStyle w:val="Refdenotaderodap"/>
          <w:b w:val="0"/>
          <w:bCs w:val="0"/>
          <w:sz w:val="20"/>
          <w:szCs w:val="20"/>
        </w:rPr>
        <w:footnoteRef/>
      </w:r>
      <w:r w:rsidRPr="007B133D">
        <w:rPr>
          <w:b w:val="0"/>
          <w:bCs w:val="0"/>
          <w:sz w:val="20"/>
          <w:szCs w:val="20"/>
        </w:rPr>
        <w:t xml:space="preserve"> ALMEIDA, Suzana; ASSIS, </w:t>
      </w:r>
      <w:proofErr w:type="spellStart"/>
      <w:r w:rsidRPr="007B133D">
        <w:rPr>
          <w:b w:val="0"/>
          <w:bCs w:val="0"/>
          <w:sz w:val="20"/>
          <w:szCs w:val="20"/>
        </w:rPr>
        <w:t>Zamira</w:t>
      </w:r>
      <w:proofErr w:type="spellEnd"/>
      <w:r w:rsidRPr="007B133D">
        <w:rPr>
          <w:b w:val="0"/>
          <w:bCs w:val="0"/>
          <w:sz w:val="20"/>
          <w:szCs w:val="20"/>
        </w:rPr>
        <w:t xml:space="preserve"> de – </w:t>
      </w:r>
      <w:r w:rsidRPr="007B133D">
        <w:rPr>
          <w:sz w:val="20"/>
          <w:szCs w:val="20"/>
        </w:rPr>
        <w:t xml:space="preserve">Parentalidade </w:t>
      </w:r>
      <w:proofErr w:type="spellStart"/>
      <w:r w:rsidRPr="007B133D">
        <w:rPr>
          <w:sz w:val="20"/>
          <w:szCs w:val="20"/>
        </w:rPr>
        <w:t>sócio-afectiva</w:t>
      </w:r>
      <w:proofErr w:type="spellEnd"/>
      <w:r w:rsidRPr="007B133D">
        <w:rPr>
          <w:sz w:val="20"/>
          <w:szCs w:val="20"/>
        </w:rPr>
        <w:t>: Portugal e Brasil.</w:t>
      </w:r>
      <w:r w:rsidRPr="007B133D">
        <w:rPr>
          <w:b w:val="0"/>
          <w:bCs w:val="0"/>
          <w:sz w:val="20"/>
          <w:szCs w:val="20"/>
        </w:rPr>
        <w:t xml:space="preserve"> Coimbra: Editora Almedina, 2012, p. 41. ISBN978-972-40-4539-9.</w:t>
      </w:r>
    </w:p>
  </w:footnote>
  <w:footnote w:id="114">
    <w:p w14:paraId="01D2A12C" w14:textId="77777777" w:rsidR="00ED6932" w:rsidRPr="007B133D" w:rsidRDefault="00ED6932" w:rsidP="00157BA1">
      <w:pPr>
        <w:pStyle w:val="Ttulo1"/>
        <w:numPr>
          <w:ilvl w:val="0"/>
          <w:numId w:val="0"/>
        </w:numPr>
        <w:spacing w:line="240" w:lineRule="auto"/>
        <w:ind w:left="284" w:hanging="284"/>
        <w:rPr>
          <w:b w:val="0"/>
          <w:bCs w:val="0"/>
          <w:sz w:val="20"/>
          <w:szCs w:val="20"/>
        </w:rPr>
      </w:pPr>
      <w:r w:rsidRPr="007B133D">
        <w:rPr>
          <w:rStyle w:val="Refdenotaderodap"/>
          <w:b w:val="0"/>
          <w:bCs w:val="0"/>
          <w:sz w:val="20"/>
          <w:szCs w:val="20"/>
        </w:rPr>
        <w:footnoteRef/>
      </w:r>
      <w:r w:rsidRPr="007B133D">
        <w:rPr>
          <w:b w:val="0"/>
          <w:bCs w:val="0"/>
          <w:sz w:val="20"/>
          <w:szCs w:val="20"/>
        </w:rPr>
        <w:t xml:space="preserve"> COELHO, Francisco Pereira; OLIVEIRA, Guilherme – </w:t>
      </w:r>
      <w:r w:rsidRPr="007B133D">
        <w:rPr>
          <w:sz w:val="20"/>
          <w:szCs w:val="20"/>
        </w:rPr>
        <w:t>Curso de Direito da Família.</w:t>
      </w:r>
      <w:r w:rsidRPr="007B133D">
        <w:rPr>
          <w:b w:val="0"/>
          <w:bCs w:val="0"/>
          <w:sz w:val="20"/>
          <w:szCs w:val="20"/>
        </w:rPr>
        <w:t xml:space="preserve"> Volume I: Introdução. Direito Matrimonial. 2ª edição. Coimbra: Coimbra Editora, 2001, p. 46.  </w:t>
      </w:r>
    </w:p>
  </w:footnote>
  <w:footnote w:id="115">
    <w:p w14:paraId="087DBB93" w14:textId="77777777" w:rsidR="00ED6932" w:rsidRPr="007B133D" w:rsidRDefault="00ED6932" w:rsidP="00157BA1">
      <w:pPr>
        <w:pStyle w:val="Ttulo1"/>
        <w:numPr>
          <w:ilvl w:val="0"/>
          <w:numId w:val="0"/>
        </w:numPr>
        <w:spacing w:line="240" w:lineRule="auto"/>
        <w:ind w:left="284" w:hanging="284"/>
        <w:rPr>
          <w:b w:val="0"/>
          <w:bCs w:val="0"/>
          <w:sz w:val="20"/>
          <w:szCs w:val="20"/>
        </w:rPr>
      </w:pPr>
      <w:r w:rsidRPr="007B133D">
        <w:rPr>
          <w:rStyle w:val="Refdenotaderodap"/>
          <w:b w:val="0"/>
          <w:bCs w:val="0"/>
          <w:sz w:val="20"/>
          <w:szCs w:val="20"/>
        </w:rPr>
        <w:footnoteRef/>
      </w:r>
      <w:r w:rsidRPr="007B133D">
        <w:rPr>
          <w:b w:val="0"/>
          <w:bCs w:val="0"/>
          <w:sz w:val="20"/>
          <w:szCs w:val="20"/>
        </w:rPr>
        <w:t xml:space="preserve"> SOTTOMAYOR, Maria Clara – Adopção ou o direito ao </w:t>
      </w:r>
      <w:proofErr w:type="spellStart"/>
      <w:r w:rsidRPr="007B133D">
        <w:rPr>
          <w:b w:val="0"/>
          <w:bCs w:val="0"/>
          <w:sz w:val="20"/>
          <w:szCs w:val="20"/>
        </w:rPr>
        <w:t>afecto</w:t>
      </w:r>
      <w:proofErr w:type="spellEnd"/>
      <w:r w:rsidRPr="007B133D">
        <w:rPr>
          <w:b w:val="0"/>
          <w:bCs w:val="0"/>
          <w:sz w:val="20"/>
          <w:szCs w:val="20"/>
        </w:rPr>
        <w:t xml:space="preserve">: Acórdão do Supremo Tribunal de Justiça de 30.11.2004, Rev. 04A3795. </w:t>
      </w:r>
      <w:proofErr w:type="spellStart"/>
      <w:r w:rsidRPr="007B133D">
        <w:rPr>
          <w:sz w:val="20"/>
          <w:szCs w:val="20"/>
        </w:rPr>
        <w:t>Scientia</w:t>
      </w:r>
      <w:proofErr w:type="spellEnd"/>
      <w:r w:rsidRPr="007B133D">
        <w:rPr>
          <w:sz w:val="20"/>
          <w:szCs w:val="20"/>
        </w:rPr>
        <w:t xml:space="preserve"> </w:t>
      </w:r>
      <w:proofErr w:type="spellStart"/>
      <w:r w:rsidRPr="007B133D">
        <w:rPr>
          <w:sz w:val="20"/>
          <w:szCs w:val="20"/>
        </w:rPr>
        <w:t>Iuridica</w:t>
      </w:r>
      <w:proofErr w:type="spellEnd"/>
      <w:r w:rsidRPr="007B133D">
        <w:rPr>
          <w:sz w:val="20"/>
          <w:szCs w:val="20"/>
        </w:rPr>
        <w:t>. Revista de Direito Comparado Português e Brasileiro</w:t>
      </w:r>
      <w:r w:rsidRPr="007B133D">
        <w:rPr>
          <w:b w:val="0"/>
          <w:bCs w:val="0"/>
          <w:sz w:val="20"/>
          <w:szCs w:val="20"/>
        </w:rPr>
        <w:t>. Tomo LIV, n° 301 (</w:t>
      </w:r>
      <w:proofErr w:type="gramStart"/>
      <w:r w:rsidRPr="007B133D">
        <w:rPr>
          <w:b w:val="0"/>
          <w:bCs w:val="0"/>
          <w:sz w:val="20"/>
          <w:szCs w:val="20"/>
        </w:rPr>
        <w:t>Janeiro</w:t>
      </w:r>
      <w:proofErr w:type="gramEnd"/>
      <w:r w:rsidRPr="007B133D">
        <w:rPr>
          <w:b w:val="0"/>
          <w:bCs w:val="0"/>
          <w:sz w:val="20"/>
          <w:szCs w:val="20"/>
        </w:rPr>
        <w:t xml:space="preserve">/Março 2005), p. 129. </w:t>
      </w:r>
    </w:p>
  </w:footnote>
  <w:footnote w:id="116">
    <w:p w14:paraId="5A91BEC9" w14:textId="77777777" w:rsidR="00ED6932" w:rsidRPr="007B133D" w:rsidRDefault="00ED6932" w:rsidP="00157BA1">
      <w:pPr>
        <w:pStyle w:val="Ttulo1"/>
        <w:numPr>
          <w:ilvl w:val="0"/>
          <w:numId w:val="0"/>
        </w:numPr>
        <w:spacing w:line="240" w:lineRule="auto"/>
        <w:ind w:left="284" w:hanging="284"/>
        <w:rPr>
          <w:b w:val="0"/>
          <w:bCs w:val="0"/>
          <w:sz w:val="20"/>
          <w:szCs w:val="20"/>
        </w:rPr>
      </w:pPr>
      <w:r w:rsidRPr="007B133D">
        <w:rPr>
          <w:rStyle w:val="Refdenotaderodap"/>
          <w:b w:val="0"/>
          <w:bCs w:val="0"/>
          <w:sz w:val="20"/>
          <w:szCs w:val="20"/>
        </w:rPr>
        <w:footnoteRef/>
      </w:r>
      <w:r w:rsidRPr="007B133D">
        <w:rPr>
          <w:b w:val="0"/>
          <w:bCs w:val="0"/>
          <w:sz w:val="20"/>
          <w:szCs w:val="20"/>
        </w:rPr>
        <w:t xml:space="preserve"> ALMEIDA, Suzana; ASSIS, </w:t>
      </w:r>
      <w:proofErr w:type="spellStart"/>
      <w:r w:rsidRPr="007B133D">
        <w:rPr>
          <w:b w:val="0"/>
          <w:bCs w:val="0"/>
          <w:sz w:val="20"/>
          <w:szCs w:val="20"/>
        </w:rPr>
        <w:t>Zamira</w:t>
      </w:r>
      <w:proofErr w:type="spellEnd"/>
      <w:r w:rsidRPr="007B133D">
        <w:rPr>
          <w:b w:val="0"/>
          <w:bCs w:val="0"/>
          <w:sz w:val="20"/>
          <w:szCs w:val="20"/>
        </w:rPr>
        <w:t xml:space="preserve"> de – </w:t>
      </w:r>
      <w:r w:rsidRPr="007B133D">
        <w:rPr>
          <w:sz w:val="20"/>
          <w:szCs w:val="20"/>
        </w:rPr>
        <w:t xml:space="preserve">Parentalidade </w:t>
      </w:r>
      <w:proofErr w:type="spellStart"/>
      <w:r w:rsidRPr="007B133D">
        <w:rPr>
          <w:sz w:val="20"/>
          <w:szCs w:val="20"/>
        </w:rPr>
        <w:t>sócio-afectiva</w:t>
      </w:r>
      <w:proofErr w:type="spellEnd"/>
      <w:r w:rsidRPr="007B133D">
        <w:rPr>
          <w:sz w:val="20"/>
          <w:szCs w:val="20"/>
        </w:rPr>
        <w:t>: Portugal e Brasil.</w:t>
      </w:r>
      <w:r w:rsidRPr="007B133D">
        <w:rPr>
          <w:b w:val="0"/>
          <w:bCs w:val="0"/>
          <w:sz w:val="20"/>
          <w:szCs w:val="20"/>
        </w:rPr>
        <w:t xml:space="preserve"> Coimbra: Editora Almedina, 2012, p. 40-41. ISBN978-972-40-4539-9.</w:t>
      </w:r>
    </w:p>
  </w:footnote>
  <w:footnote w:id="117">
    <w:p w14:paraId="24510153" w14:textId="77777777" w:rsidR="00ED6932" w:rsidRPr="007B133D" w:rsidRDefault="00ED6932" w:rsidP="00157BA1">
      <w:pPr>
        <w:pStyle w:val="Ttulo1"/>
        <w:numPr>
          <w:ilvl w:val="0"/>
          <w:numId w:val="0"/>
        </w:numPr>
        <w:spacing w:line="240" w:lineRule="auto"/>
        <w:ind w:left="284" w:hanging="284"/>
        <w:rPr>
          <w:b w:val="0"/>
          <w:bCs w:val="0"/>
          <w:sz w:val="20"/>
          <w:szCs w:val="20"/>
        </w:rPr>
      </w:pPr>
      <w:r w:rsidRPr="007B133D">
        <w:rPr>
          <w:rStyle w:val="Refdenotaderodap"/>
          <w:b w:val="0"/>
          <w:bCs w:val="0"/>
          <w:sz w:val="20"/>
          <w:szCs w:val="20"/>
        </w:rPr>
        <w:footnoteRef/>
      </w:r>
      <w:r w:rsidRPr="007B133D">
        <w:rPr>
          <w:b w:val="0"/>
          <w:bCs w:val="0"/>
          <w:sz w:val="20"/>
          <w:szCs w:val="20"/>
        </w:rPr>
        <w:t xml:space="preserve"> Petição n° 451/XIII/3ª. </w:t>
      </w:r>
      <w:r w:rsidRPr="007B133D">
        <w:rPr>
          <w:sz w:val="20"/>
          <w:szCs w:val="20"/>
        </w:rPr>
        <w:t>Assembleia da República.</w:t>
      </w:r>
      <w:r w:rsidRPr="007B133D">
        <w:rPr>
          <w:b w:val="0"/>
          <w:bCs w:val="0"/>
          <w:sz w:val="20"/>
          <w:szCs w:val="20"/>
        </w:rPr>
        <w:t xml:space="preserve"> [Em linha]. (15 de janeiro de 2018). Disponível em </w:t>
      </w:r>
      <w:r w:rsidRPr="007B133D">
        <w:rPr>
          <w:rFonts w:eastAsia="Calibri"/>
          <w:b w:val="0"/>
          <w:bCs w:val="0"/>
          <w:sz w:val="20"/>
          <w:szCs w:val="20"/>
        </w:rPr>
        <w:t>https://www.parlamento.pt/ActividadeParlamentar/Paginas/DetalhePeticao.aspx?BID=13134</w:t>
      </w:r>
      <w:r w:rsidRPr="007B133D">
        <w:rPr>
          <w:b w:val="0"/>
          <w:bCs w:val="0"/>
          <w:sz w:val="20"/>
          <w:szCs w:val="20"/>
        </w:rPr>
        <w:t>.</w:t>
      </w:r>
    </w:p>
  </w:footnote>
  <w:footnote w:id="118">
    <w:p w14:paraId="52AC8F50" w14:textId="77777777" w:rsidR="00ED6932" w:rsidRPr="007B133D" w:rsidRDefault="00ED6932" w:rsidP="00157BA1">
      <w:pPr>
        <w:pStyle w:val="Ttulo1"/>
        <w:numPr>
          <w:ilvl w:val="0"/>
          <w:numId w:val="0"/>
        </w:numPr>
        <w:spacing w:line="240" w:lineRule="auto"/>
        <w:ind w:left="284" w:hanging="284"/>
        <w:rPr>
          <w:b w:val="0"/>
          <w:bCs w:val="0"/>
          <w:sz w:val="20"/>
          <w:szCs w:val="20"/>
        </w:rPr>
      </w:pPr>
      <w:r w:rsidRPr="007B133D">
        <w:rPr>
          <w:rStyle w:val="Refdenotaderodap"/>
          <w:b w:val="0"/>
          <w:bCs w:val="0"/>
          <w:sz w:val="20"/>
          <w:szCs w:val="20"/>
        </w:rPr>
        <w:footnoteRef/>
      </w:r>
      <w:r w:rsidRPr="007B133D">
        <w:rPr>
          <w:b w:val="0"/>
          <w:bCs w:val="0"/>
          <w:sz w:val="20"/>
          <w:szCs w:val="20"/>
        </w:rPr>
        <w:t xml:space="preserve"> Petição n° 451/XIII/3ª. </w:t>
      </w:r>
      <w:r w:rsidRPr="007B133D">
        <w:rPr>
          <w:sz w:val="20"/>
          <w:szCs w:val="20"/>
        </w:rPr>
        <w:t>Assembleia da República.</w:t>
      </w:r>
      <w:r w:rsidRPr="007B133D">
        <w:rPr>
          <w:b w:val="0"/>
          <w:bCs w:val="0"/>
          <w:sz w:val="20"/>
          <w:szCs w:val="20"/>
        </w:rPr>
        <w:t xml:space="preserve"> [Em linha]. (15 de janeiro de 2018). Disponível em </w:t>
      </w:r>
      <w:r w:rsidRPr="007B133D">
        <w:rPr>
          <w:rFonts w:eastAsia="Calibri"/>
          <w:b w:val="0"/>
          <w:bCs w:val="0"/>
          <w:sz w:val="20"/>
          <w:szCs w:val="20"/>
        </w:rPr>
        <w:t>https://www.parlamento.pt/ActividadeParlamentar/Paginas/DetalhePeticao.aspx?BID=13134</w:t>
      </w:r>
      <w:r w:rsidRPr="007B133D">
        <w:rPr>
          <w:b w:val="0"/>
          <w:bCs w:val="0"/>
          <w:sz w:val="20"/>
          <w:szCs w:val="20"/>
        </w:rPr>
        <w:t>.</w:t>
      </w:r>
    </w:p>
  </w:footnote>
  <w:footnote w:id="119">
    <w:p w14:paraId="4102D8D0" w14:textId="77777777" w:rsidR="00ED6932" w:rsidRPr="007B133D" w:rsidRDefault="00ED6932" w:rsidP="00157BA1">
      <w:pPr>
        <w:pStyle w:val="Ttulo1"/>
        <w:numPr>
          <w:ilvl w:val="0"/>
          <w:numId w:val="0"/>
        </w:numPr>
        <w:spacing w:line="240" w:lineRule="auto"/>
        <w:ind w:left="284" w:hanging="284"/>
        <w:rPr>
          <w:b w:val="0"/>
          <w:bCs w:val="0"/>
          <w:sz w:val="20"/>
          <w:szCs w:val="20"/>
        </w:rPr>
      </w:pPr>
      <w:r w:rsidRPr="007B133D">
        <w:rPr>
          <w:rStyle w:val="Refdenotaderodap"/>
          <w:b w:val="0"/>
          <w:bCs w:val="0"/>
          <w:sz w:val="20"/>
          <w:szCs w:val="20"/>
        </w:rPr>
        <w:footnoteRef/>
      </w:r>
      <w:r w:rsidRPr="007B133D">
        <w:rPr>
          <w:b w:val="0"/>
          <w:bCs w:val="0"/>
          <w:sz w:val="20"/>
          <w:szCs w:val="20"/>
        </w:rPr>
        <w:t xml:space="preserve"> Nota de Admissibilidade acerca da Petição n° 451/XIII/3ª. </w:t>
      </w:r>
      <w:r w:rsidRPr="007B133D">
        <w:rPr>
          <w:sz w:val="20"/>
          <w:szCs w:val="20"/>
        </w:rPr>
        <w:t>Assembleia da República.</w:t>
      </w:r>
      <w:r w:rsidRPr="007B133D">
        <w:rPr>
          <w:b w:val="0"/>
          <w:bCs w:val="0"/>
          <w:sz w:val="20"/>
          <w:szCs w:val="20"/>
        </w:rPr>
        <w:t xml:space="preserve"> [Em linha]. (06-02-2018). Disponível em </w:t>
      </w:r>
      <w:r w:rsidRPr="007B133D">
        <w:rPr>
          <w:rFonts w:eastAsia="Calibri"/>
          <w:b w:val="0"/>
          <w:bCs w:val="0"/>
          <w:sz w:val="20"/>
          <w:szCs w:val="20"/>
        </w:rPr>
        <w:t>https://www.parlamento.pt/ActividadeParlamentar/Paginas/DetalhePeticao.aspx?BID=13134</w:t>
      </w:r>
      <w:r w:rsidRPr="007B133D">
        <w:rPr>
          <w:b w:val="0"/>
          <w:bCs w:val="0"/>
          <w:sz w:val="20"/>
          <w:szCs w:val="20"/>
        </w:rPr>
        <w:t>.</w:t>
      </w:r>
    </w:p>
  </w:footnote>
  <w:footnote w:id="120">
    <w:p w14:paraId="25447ADB" w14:textId="77777777" w:rsidR="00ED6932" w:rsidRPr="007B133D" w:rsidRDefault="00ED6932" w:rsidP="00157BA1">
      <w:pPr>
        <w:pStyle w:val="Ttulo1"/>
        <w:numPr>
          <w:ilvl w:val="0"/>
          <w:numId w:val="0"/>
        </w:numPr>
        <w:spacing w:line="240" w:lineRule="auto"/>
        <w:ind w:left="284" w:hanging="284"/>
        <w:rPr>
          <w:b w:val="0"/>
          <w:bCs w:val="0"/>
          <w:sz w:val="20"/>
          <w:szCs w:val="20"/>
        </w:rPr>
      </w:pPr>
      <w:r w:rsidRPr="007B133D">
        <w:rPr>
          <w:rStyle w:val="Refdenotaderodap"/>
          <w:b w:val="0"/>
          <w:bCs w:val="0"/>
          <w:sz w:val="20"/>
          <w:szCs w:val="20"/>
        </w:rPr>
        <w:footnoteRef/>
      </w:r>
      <w:r w:rsidRPr="007B133D">
        <w:rPr>
          <w:b w:val="0"/>
          <w:bCs w:val="0"/>
          <w:sz w:val="20"/>
          <w:szCs w:val="20"/>
        </w:rPr>
        <w:t xml:space="preserve"> Nota de Admissibilidade acerca da Petição n° 451/XIII/3ª. </w:t>
      </w:r>
      <w:r w:rsidRPr="007B133D">
        <w:rPr>
          <w:sz w:val="20"/>
          <w:szCs w:val="20"/>
        </w:rPr>
        <w:t>Assembleia da República.</w:t>
      </w:r>
      <w:r w:rsidRPr="007B133D">
        <w:rPr>
          <w:b w:val="0"/>
          <w:bCs w:val="0"/>
          <w:sz w:val="20"/>
          <w:szCs w:val="20"/>
        </w:rPr>
        <w:t xml:space="preserve"> [Em linha]. (06-02-2018). Disponível em </w:t>
      </w:r>
      <w:r w:rsidRPr="007B133D">
        <w:rPr>
          <w:rFonts w:eastAsia="Calibri"/>
          <w:b w:val="0"/>
          <w:bCs w:val="0"/>
          <w:sz w:val="20"/>
          <w:szCs w:val="20"/>
        </w:rPr>
        <w:t>https://www.parlamento.pt/ActividadeParlamentar/Paginas/DetalhePeticao.aspx?BID=13134</w:t>
      </w:r>
      <w:r w:rsidRPr="007B133D">
        <w:rPr>
          <w:b w:val="0"/>
          <w:bCs w:val="0"/>
          <w:sz w:val="20"/>
          <w:szCs w:val="20"/>
        </w:rPr>
        <w:t>.</w:t>
      </w:r>
    </w:p>
  </w:footnote>
  <w:footnote w:id="121">
    <w:p w14:paraId="4F29EE7C" w14:textId="77777777" w:rsidR="00ED6932" w:rsidRPr="007B133D" w:rsidRDefault="00ED6932" w:rsidP="00157BA1">
      <w:pPr>
        <w:pStyle w:val="Ttulo1"/>
        <w:numPr>
          <w:ilvl w:val="0"/>
          <w:numId w:val="0"/>
        </w:numPr>
        <w:spacing w:line="240" w:lineRule="auto"/>
        <w:ind w:left="284" w:hanging="284"/>
        <w:rPr>
          <w:b w:val="0"/>
          <w:bCs w:val="0"/>
          <w:sz w:val="20"/>
          <w:szCs w:val="20"/>
        </w:rPr>
      </w:pPr>
      <w:r w:rsidRPr="007B133D">
        <w:rPr>
          <w:rStyle w:val="Refdenotaderodap"/>
          <w:b w:val="0"/>
          <w:bCs w:val="0"/>
          <w:sz w:val="20"/>
          <w:szCs w:val="20"/>
        </w:rPr>
        <w:footnoteRef/>
      </w:r>
      <w:r w:rsidRPr="007B133D">
        <w:rPr>
          <w:b w:val="0"/>
          <w:bCs w:val="0"/>
          <w:sz w:val="20"/>
          <w:szCs w:val="20"/>
        </w:rPr>
        <w:t xml:space="preserve"> Relatório Final da Petição n° 451/XIII/3ª. </w:t>
      </w:r>
      <w:r w:rsidRPr="007B133D">
        <w:rPr>
          <w:sz w:val="20"/>
          <w:szCs w:val="20"/>
        </w:rPr>
        <w:t>Assembleia da República.</w:t>
      </w:r>
      <w:r w:rsidRPr="007B133D">
        <w:rPr>
          <w:b w:val="0"/>
          <w:bCs w:val="0"/>
          <w:sz w:val="20"/>
          <w:szCs w:val="20"/>
        </w:rPr>
        <w:t xml:space="preserve"> [Em linha]. (02-04-2018). Disponível em </w:t>
      </w:r>
      <w:r w:rsidRPr="007B133D">
        <w:rPr>
          <w:rFonts w:eastAsia="Calibri"/>
          <w:b w:val="0"/>
          <w:bCs w:val="0"/>
          <w:sz w:val="20"/>
          <w:szCs w:val="20"/>
        </w:rPr>
        <w:t>https://www.parlamento.pt/ActividadeParlamentar/Paginas/DetalhePeticao.aspx?BID=13134</w:t>
      </w:r>
      <w:r w:rsidRPr="007B133D">
        <w:rPr>
          <w:b w:val="0"/>
          <w:bCs w:val="0"/>
          <w:sz w:val="20"/>
          <w:szCs w:val="20"/>
        </w:rPr>
        <w:t>.</w:t>
      </w:r>
    </w:p>
  </w:footnote>
  <w:footnote w:id="122">
    <w:p w14:paraId="16AEFD77" w14:textId="77777777" w:rsidR="00ED6932" w:rsidRPr="00E80AAE" w:rsidRDefault="00ED6932" w:rsidP="00157BA1">
      <w:pPr>
        <w:pStyle w:val="Ttulo1"/>
        <w:numPr>
          <w:ilvl w:val="0"/>
          <w:numId w:val="0"/>
        </w:numPr>
        <w:spacing w:line="240" w:lineRule="auto"/>
        <w:ind w:left="284" w:hanging="284"/>
      </w:pPr>
      <w:r w:rsidRPr="007B133D">
        <w:rPr>
          <w:rStyle w:val="Refdenotaderodap"/>
          <w:b w:val="0"/>
          <w:bCs w:val="0"/>
          <w:sz w:val="20"/>
          <w:szCs w:val="20"/>
        </w:rPr>
        <w:footnoteRef/>
      </w:r>
      <w:r w:rsidRPr="007B133D">
        <w:rPr>
          <w:b w:val="0"/>
          <w:bCs w:val="0"/>
          <w:sz w:val="20"/>
          <w:szCs w:val="20"/>
        </w:rPr>
        <w:t xml:space="preserve"> Relatório Final da Petição n° 451/XIII/3ª. </w:t>
      </w:r>
      <w:r w:rsidRPr="007B133D">
        <w:rPr>
          <w:sz w:val="20"/>
          <w:szCs w:val="20"/>
        </w:rPr>
        <w:t>Assembleia da República.</w:t>
      </w:r>
      <w:r w:rsidRPr="007B133D">
        <w:rPr>
          <w:b w:val="0"/>
          <w:bCs w:val="0"/>
          <w:sz w:val="20"/>
          <w:szCs w:val="20"/>
        </w:rPr>
        <w:t xml:space="preserve"> [Em linha]. (02-04-2018). Disponível em </w:t>
      </w:r>
      <w:r w:rsidRPr="007B133D">
        <w:rPr>
          <w:rFonts w:eastAsia="Calibri"/>
          <w:b w:val="0"/>
          <w:bCs w:val="0"/>
          <w:sz w:val="20"/>
          <w:szCs w:val="20"/>
        </w:rPr>
        <w:t>https://www.parlamento.pt/ActividadeParlamentar/Paginas/DetalhePeticao.aspx?BID=13134</w:t>
      </w:r>
      <w:r w:rsidRPr="007B133D">
        <w:rPr>
          <w:b w:val="0"/>
          <w:bCs w:val="0"/>
          <w:sz w:val="20"/>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25B11B" w14:textId="2239F00B" w:rsidR="00ED6932" w:rsidRDefault="00ED6932">
    <w:pPr>
      <w:pStyle w:val="Cabealho"/>
    </w:pPr>
    <w:r>
      <w:rPr>
        <w:noProof/>
        <w:lang w:val="en-US"/>
      </w:rPr>
      <w:drawing>
        <wp:anchor distT="0" distB="0" distL="114300" distR="114300" simplePos="0" relativeHeight="251659264" behindDoc="0" locked="0" layoutInCell="1" allowOverlap="1" wp14:anchorId="23BAAC8A" wp14:editId="33EDB183">
          <wp:simplePos x="0" y="0"/>
          <wp:positionH relativeFrom="margin">
            <wp:posOffset>4099560</wp:posOffset>
          </wp:positionH>
          <wp:positionV relativeFrom="paragraph">
            <wp:posOffset>-305435</wp:posOffset>
          </wp:positionV>
          <wp:extent cx="1798955" cy="1078865"/>
          <wp:effectExtent l="0" t="0" r="0" b="6985"/>
          <wp:wrapNone/>
          <wp:docPr id="1"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tipo_ual_h30mm_250dpi.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98955" cy="107886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C15928"/>
    <w:multiLevelType w:val="multilevel"/>
    <w:tmpl w:val="20CEE1A0"/>
    <w:lvl w:ilvl="0">
      <w:start w:val="1"/>
      <w:numFmt w:val="decimal"/>
      <w:pStyle w:val="Ttulo1"/>
      <w:lvlText w:val="%1"/>
      <w:lvlJc w:val="left"/>
      <w:pPr>
        <w:ind w:left="432" w:hanging="432"/>
      </w:pPr>
      <w:rPr>
        <w:rFonts w:ascii="Times New Roman" w:hAnsi="Times New Roman" w:cs="Times New Roman"/>
        <w:b/>
        <w:bCs/>
        <w:i w:val="0"/>
        <w:iCs w:val="0"/>
        <w:caps w:val="0"/>
        <w:smallCaps w:val="0"/>
        <w:strike w:val="0"/>
        <w:dstrike w:val="0"/>
        <w:noProof w:val="0"/>
        <w:vanish w:val="0"/>
        <w:color w:val="000000"/>
        <w:spacing w:val="0"/>
        <w:kern w:val="0"/>
        <w:position w:val="0"/>
        <w:u w:val="none"/>
        <w:vertAlign w:val="baseline"/>
        <w:em w:val="none"/>
      </w:rPr>
    </w:lvl>
    <w:lvl w:ilvl="1">
      <w:start w:val="1"/>
      <w:numFmt w:val="decimal"/>
      <w:pStyle w:val="Ttulo2"/>
      <w:lvlText w:val="%1.%2"/>
      <w:lvlJc w:val="left"/>
      <w:pPr>
        <w:ind w:left="576" w:hanging="576"/>
      </w:pPr>
    </w:lvl>
    <w:lvl w:ilvl="2">
      <w:start w:val="1"/>
      <w:numFmt w:val="decimal"/>
      <w:pStyle w:val="Ttulo3"/>
      <w:lvlText w:val="%1.%2.%3"/>
      <w:lvlJc w:val="left"/>
      <w:pPr>
        <w:ind w:left="720" w:hanging="720"/>
      </w:p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1" w15:restartNumberingAfterBreak="0">
    <w:nsid w:val="3E255208"/>
    <w:multiLevelType w:val="multilevel"/>
    <w:tmpl w:val="12860DC6"/>
    <w:lvl w:ilvl="0">
      <w:start w:val="1"/>
      <w:numFmt w:val="decimal"/>
      <w:pStyle w:val="CabealhodoSumrio"/>
      <w:lvlText w:val="%1"/>
      <w:lvlJc w:val="left"/>
      <w:pPr>
        <w:ind w:left="660" w:hanging="660"/>
      </w:pPr>
      <w:rPr>
        <w:rFonts w:hint="default"/>
      </w:rPr>
    </w:lvl>
    <w:lvl w:ilvl="1">
      <w:start w:val="1"/>
      <w:numFmt w:val="decimal"/>
      <w:lvlText w:val="%1.%2"/>
      <w:lvlJc w:val="left"/>
      <w:pPr>
        <w:ind w:left="660" w:hanging="660"/>
      </w:pPr>
      <w:rPr>
        <w:rFonts w:hint="default"/>
      </w:rPr>
    </w:lvl>
    <w:lvl w:ilvl="2">
      <w:start w:val="1"/>
      <w:numFmt w:val="decimal"/>
      <w:lvlText w:val="%1.%2.%3"/>
      <w:lvlJc w:val="left"/>
      <w:pPr>
        <w:ind w:left="1020" w:hanging="1020"/>
      </w:pPr>
      <w:rPr>
        <w:rFonts w:hint="default"/>
      </w:rPr>
    </w:lvl>
    <w:lvl w:ilvl="3">
      <w:start w:val="1"/>
      <w:numFmt w:val="decimal"/>
      <w:lvlText w:val="%1.%2.%3.%4"/>
      <w:lvlJc w:val="left"/>
      <w:pPr>
        <w:ind w:left="1020" w:hanging="1020"/>
      </w:pPr>
      <w:rPr>
        <w:rFonts w:hint="default"/>
      </w:rPr>
    </w:lvl>
    <w:lvl w:ilvl="4">
      <w:start w:val="1"/>
      <w:numFmt w:val="decimal"/>
      <w:lvlText w:val="%1.%2.%3.%4.%5"/>
      <w:lvlJc w:val="left"/>
      <w:pPr>
        <w:ind w:left="1380" w:hanging="1380"/>
      </w:pPr>
      <w:rPr>
        <w:rFonts w:hint="default"/>
      </w:rPr>
    </w:lvl>
    <w:lvl w:ilvl="5">
      <w:start w:val="1"/>
      <w:numFmt w:val="decimal"/>
      <w:lvlText w:val="%1.%2.%3.%4.%5.%6"/>
      <w:lvlJc w:val="left"/>
      <w:pPr>
        <w:ind w:left="1380" w:hanging="1380"/>
      </w:pPr>
      <w:rPr>
        <w:rFonts w:hint="default"/>
      </w:rPr>
    </w:lvl>
    <w:lvl w:ilvl="6">
      <w:start w:val="1"/>
      <w:numFmt w:val="decimal"/>
      <w:lvlText w:val="%1.%2.%3.%4.%5.%6.%7"/>
      <w:lvlJc w:val="left"/>
      <w:pPr>
        <w:ind w:left="1740" w:hanging="1740"/>
      </w:pPr>
      <w:rPr>
        <w:rFonts w:hint="default"/>
      </w:rPr>
    </w:lvl>
    <w:lvl w:ilvl="7">
      <w:start w:val="1"/>
      <w:numFmt w:val="decimal"/>
      <w:lvlText w:val="%1.%2.%3.%4.%5.%6.%7.%8"/>
      <w:lvlJc w:val="left"/>
      <w:pPr>
        <w:ind w:left="1740" w:hanging="1740"/>
      </w:pPr>
      <w:rPr>
        <w:rFonts w:hint="default"/>
      </w:rPr>
    </w:lvl>
    <w:lvl w:ilvl="8">
      <w:start w:val="1"/>
      <w:numFmt w:val="decimal"/>
      <w:lvlText w:val="%1.%2.%3.%4.%5.%6.%7.%8.%9"/>
      <w:lvlJc w:val="left"/>
      <w:pPr>
        <w:ind w:left="2100" w:hanging="2100"/>
      </w:pPr>
      <w:rPr>
        <w:rFonts w:hint="default"/>
      </w:rPr>
    </w:lvl>
  </w:abstractNum>
  <w:abstractNum w:abstractNumId="2" w15:restartNumberingAfterBreak="0">
    <w:nsid w:val="41CA22B7"/>
    <w:multiLevelType w:val="hybridMultilevel"/>
    <w:tmpl w:val="6AAE1D0E"/>
    <w:lvl w:ilvl="0" w:tplc="7B62E99A">
      <w:start w:val="1"/>
      <w:numFmt w:val="decimal"/>
      <w:lvlText w:val="%1."/>
      <w:lvlJc w:val="left"/>
      <w:pPr>
        <w:ind w:left="2628" w:hanging="360"/>
      </w:pPr>
      <w:rPr>
        <w:rFonts w:hint="default"/>
      </w:rPr>
    </w:lvl>
    <w:lvl w:ilvl="1" w:tplc="04160019" w:tentative="1">
      <w:start w:val="1"/>
      <w:numFmt w:val="lowerLetter"/>
      <w:lvlText w:val="%2."/>
      <w:lvlJc w:val="left"/>
      <w:pPr>
        <w:ind w:left="3348" w:hanging="360"/>
      </w:pPr>
    </w:lvl>
    <w:lvl w:ilvl="2" w:tplc="0416001B" w:tentative="1">
      <w:start w:val="1"/>
      <w:numFmt w:val="lowerRoman"/>
      <w:lvlText w:val="%3."/>
      <w:lvlJc w:val="right"/>
      <w:pPr>
        <w:ind w:left="4068" w:hanging="180"/>
      </w:pPr>
    </w:lvl>
    <w:lvl w:ilvl="3" w:tplc="0416000F" w:tentative="1">
      <w:start w:val="1"/>
      <w:numFmt w:val="decimal"/>
      <w:lvlText w:val="%4."/>
      <w:lvlJc w:val="left"/>
      <w:pPr>
        <w:ind w:left="4788" w:hanging="360"/>
      </w:pPr>
    </w:lvl>
    <w:lvl w:ilvl="4" w:tplc="04160019" w:tentative="1">
      <w:start w:val="1"/>
      <w:numFmt w:val="lowerLetter"/>
      <w:lvlText w:val="%5."/>
      <w:lvlJc w:val="left"/>
      <w:pPr>
        <w:ind w:left="5508" w:hanging="360"/>
      </w:pPr>
    </w:lvl>
    <w:lvl w:ilvl="5" w:tplc="0416001B" w:tentative="1">
      <w:start w:val="1"/>
      <w:numFmt w:val="lowerRoman"/>
      <w:lvlText w:val="%6."/>
      <w:lvlJc w:val="right"/>
      <w:pPr>
        <w:ind w:left="6228" w:hanging="180"/>
      </w:pPr>
    </w:lvl>
    <w:lvl w:ilvl="6" w:tplc="0416000F" w:tentative="1">
      <w:start w:val="1"/>
      <w:numFmt w:val="decimal"/>
      <w:lvlText w:val="%7."/>
      <w:lvlJc w:val="left"/>
      <w:pPr>
        <w:ind w:left="6948" w:hanging="360"/>
      </w:pPr>
    </w:lvl>
    <w:lvl w:ilvl="7" w:tplc="04160019" w:tentative="1">
      <w:start w:val="1"/>
      <w:numFmt w:val="lowerLetter"/>
      <w:lvlText w:val="%8."/>
      <w:lvlJc w:val="left"/>
      <w:pPr>
        <w:ind w:left="7668" w:hanging="360"/>
      </w:pPr>
    </w:lvl>
    <w:lvl w:ilvl="8" w:tplc="0416001B" w:tentative="1">
      <w:start w:val="1"/>
      <w:numFmt w:val="lowerRoman"/>
      <w:lvlText w:val="%9."/>
      <w:lvlJc w:val="right"/>
      <w:pPr>
        <w:ind w:left="8388" w:hanging="180"/>
      </w:pPr>
    </w:lvl>
  </w:abstractNum>
  <w:num w:numId="1">
    <w:abstractNumId w:val="0"/>
  </w:num>
  <w:num w:numId="2">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0D3C"/>
    <w:rsid w:val="00000737"/>
    <w:rsid w:val="000066D7"/>
    <w:rsid w:val="00006819"/>
    <w:rsid w:val="00010004"/>
    <w:rsid w:val="00012868"/>
    <w:rsid w:val="00014FC2"/>
    <w:rsid w:val="00022D21"/>
    <w:rsid w:val="000241FB"/>
    <w:rsid w:val="000247B5"/>
    <w:rsid w:val="00026FDA"/>
    <w:rsid w:val="000301E7"/>
    <w:rsid w:val="000305C9"/>
    <w:rsid w:val="0003076A"/>
    <w:rsid w:val="00035587"/>
    <w:rsid w:val="000362E3"/>
    <w:rsid w:val="00040F16"/>
    <w:rsid w:val="00042E7D"/>
    <w:rsid w:val="0004379B"/>
    <w:rsid w:val="00045CAC"/>
    <w:rsid w:val="00046F53"/>
    <w:rsid w:val="00050D67"/>
    <w:rsid w:val="00052421"/>
    <w:rsid w:val="00055AD7"/>
    <w:rsid w:val="00055DB9"/>
    <w:rsid w:val="00057BBC"/>
    <w:rsid w:val="00060F4D"/>
    <w:rsid w:val="000610F7"/>
    <w:rsid w:val="000627E4"/>
    <w:rsid w:val="00062A4C"/>
    <w:rsid w:val="00071CFC"/>
    <w:rsid w:val="00073F16"/>
    <w:rsid w:val="000745F5"/>
    <w:rsid w:val="0007653D"/>
    <w:rsid w:val="0007713F"/>
    <w:rsid w:val="000773CE"/>
    <w:rsid w:val="00080ADE"/>
    <w:rsid w:val="00081E58"/>
    <w:rsid w:val="00082C1F"/>
    <w:rsid w:val="000851AE"/>
    <w:rsid w:val="000853A6"/>
    <w:rsid w:val="00091057"/>
    <w:rsid w:val="00092189"/>
    <w:rsid w:val="00092D3B"/>
    <w:rsid w:val="00092D54"/>
    <w:rsid w:val="00092F03"/>
    <w:rsid w:val="0009314E"/>
    <w:rsid w:val="00095A25"/>
    <w:rsid w:val="000A05BD"/>
    <w:rsid w:val="000A233E"/>
    <w:rsid w:val="000A2AFE"/>
    <w:rsid w:val="000A4FF9"/>
    <w:rsid w:val="000A7485"/>
    <w:rsid w:val="000B04E6"/>
    <w:rsid w:val="000B13A2"/>
    <w:rsid w:val="000B194E"/>
    <w:rsid w:val="000B1B40"/>
    <w:rsid w:val="000B1CAC"/>
    <w:rsid w:val="000B30D5"/>
    <w:rsid w:val="000B38AC"/>
    <w:rsid w:val="000B4205"/>
    <w:rsid w:val="000B4265"/>
    <w:rsid w:val="000C2415"/>
    <w:rsid w:val="000D6561"/>
    <w:rsid w:val="000E1927"/>
    <w:rsid w:val="000E2C70"/>
    <w:rsid w:val="000E3471"/>
    <w:rsid w:val="000E3544"/>
    <w:rsid w:val="000E476E"/>
    <w:rsid w:val="000E7060"/>
    <w:rsid w:val="000F516A"/>
    <w:rsid w:val="000F7800"/>
    <w:rsid w:val="00102441"/>
    <w:rsid w:val="00105A4E"/>
    <w:rsid w:val="0010796F"/>
    <w:rsid w:val="001101F5"/>
    <w:rsid w:val="00111BD1"/>
    <w:rsid w:val="001169DE"/>
    <w:rsid w:val="00120A11"/>
    <w:rsid w:val="001220D3"/>
    <w:rsid w:val="0012372C"/>
    <w:rsid w:val="00123DF5"/>
    <w:rsid w:val="001244A2"/>
    <w:rsid w:val="001266BC"/>
    <w:rsid w:val="00130256"/>
    <w:rsid w:val="00130928"/>
    <w:rsid w:val="001313B1"/>
    <w:rsid w:val="0013163A"/>
    <w:rsid w:val="00131ADD"/>
    <w:rsid w:val="00132E6F"/>
    <w:rsid w:val="0013524F"/>
    <w:rsid w:val="00135828"/>
    <w:rsid w:val="00135C8F"/>
    <w:rsid w:val="00136A9F"/>
    <w:rsid w:val="001372C9"/>
    <w:rsid w:val="00137FF3"/>
    <w:rsid w:val="00140C42"/>
    <w:rsid w:val="00142B71"/>
    <w:rsid w:val="001476B9"/>
    <w:rsid w:val="00151CD9"/>
    <w:rsid w:val="00152DF7"/>
    <w:rsid w:val="00154B0F"/>
    <w:rsid w:val="00154DE2"/>
    <w:rsid w:val="0015676E"/>
    <w:rsid w:val="00157BA1"/>
    <w:rsid w:val="001671AD"/>
    <w:rsid w:val="00170C27"/>
    <w:rsid w:val="00172F28"/>
    <w:rsid w:val="00173414"/>
    <w:rsid w:val="001760EA"/>
    <w:rsid w:val="00176A49"/>
    <w:rsid w:val="001770F8"/>
    <w:rsid w:val="001815F4"/>
    <w:rsid w:val="00181B3E"/>
    <w:rsid w:val="00183267"/>
    <w:rsid w:val="0019029E"/>
    <w:rsid w:val="001923DB"/>
    <w:rsid w:val="00192623"/>
    <w:rsid w:val="001927C5"/>
    <w:rsid w:val="001935F7"/>
    <w:rsid w:val="0019705B"/>
    <w:rsid w:val="001A0382"/>
    <w:rsid w:val="001A0F92"/>
    <w:rsid w:val="001A107D"/>
    <w:rsid w:val="001A2666"/>
    <w:rsid w:val="001A75A8"/>
    <w:rsid w:val="001B0DF7"/>
    <w:rsid w:val="001B3B5A"/>
    <w:rsid w:val="001B3F22"/>
    <w:rsid w:val="001B5D38"/>
    <w:rsid w:val="001B7E00"/>
    <w:rsid w:val="001C2475"/>
    <w:rsid w:val="001C4BBD"/>
    <w:rsid w:val="001C58E2"/>
    <w:rsid w:val="001C621A"/>
    <w:rsid w:val="001C6C08"/>
    <w:rsid w:val="001D0107"/>
    <w:rsid w:val="001E0233"/>
    <w:rsid w:val="001E0448"/>
    <w:rsid w:val="001E0BF6"/>
    <w:rsid w:val="001E0CD6"/>
    <w:rsid w:val="001E2C91"/>
    <w:rsid w:val="001E3A1A"/>
    <w:rsid w:val="001E3A29"/>
    <w:rsid w:val="001E4A5B"/>
    <w:rsid w:val="001E68AC"/>
    <w:rsid w:val="001E7759"/>
    <w:rsid w:val="001F12E9"/>
    <w:rsid w:val="001F30C6"/>
    <w:rsid w:val="001F38A8"/>
    <w:rsid w:val="001F45B8"/>
    <w:rsid w:val="002040F9"/>
    <w:rsid w:val="00204291"/>
    <w:rsid w:val="002052A4"/>
    <w:rsid w:val="00207294"/>
    <w:rsid w:val="002117E0"/>
    <w:rsid w:val="0021301C"/>
    <w:rsid w:val="00214F89"/>
    <w:rsid w:val="00216EE0"/>
    <w:rsid w:val="00220157"/>
    <w:rsid w:val="00220E8A"/>
    <w:rsid w:val="00221119"/>
    <w:rsid w:val="00221CB2"/>
    <w:rsid w:val="00224219"/>
    <w:rsid w:val="00224D78"/>
    <w:rsid w:val="00225BA1"/>
    <w:rsid w:val="00230D20"/>
    <w:rsid w:val="00231CF5"/>
    <w:rsid w:val="0023555D"/>
    <w:rsid w:val="00236179"/>
    <w:rsid w:val="002404FD"/>
    <w:rsid w:val="00242822"/>
    <w:rsid w:val="00242C43"/>
    <w:rsid w:val="00244921"/>
    <w:rsid w:val="002458A4"/>
    <w:rsid w:val="002504EE"/>
    <w:rsid w:val="00250D6D"/>
    <w:rsid w:val="00253561"/>
    <w:rsid w:val="00254843"/>
    <w:rsid w:val="002603E7"/>
    <w:rsid w:val="00260A16"/>
    <w:rsid w:val="00262020"/>
    <w:rsid w:val="0026322E"/>
    <w:rsid w:val="002666FA"/>
    <w:rsid w:val="00270D99"/>
    <w:rsid w:val="002718B8"/>
    <w:rsid w:val="00272434"/>
    <w:rsid w:val="002745AA"/>
    <w:rsid w:val="0027533E"/>
    <w:rsid w:val="00275E29"/>
    <w:rsid w:val="0027667F"/>
    <w:rsid w:val="002770CD"/>
    <w:rsid w:val="002771CE"/>
    <w:rsid w:val="0027730D"/>
    <w:rsid w:val="00281B43"/>
    <w:rsid w:val="00284141"/>
    <w:rsid w:val="00285394"/>
    <w:rsid w:val="0028676F"/>
    <w:rsid w:val="002870B9"/>
    <w:rsid w:val="00291D4F"/>
    <w:rsid w:val="0029250D"/>
    <w:rsid w:val="00297A07"/>
    <w:rsid w:val="002A020F"/>
    <w:rsid w:val="002A0542"/>
    <w:rsid w:val="002A532A"/>
    <w:rsid w:val="002A6CD0"/>
    <w:rsid w:val="002B284A"/>
    <w:rsid w:val="002B4321"/>
    <w:rsid w:val="002B5C02"/>
    <w:rsid w:val="002B66A2"/>
    <w:rsid w:val="002C078E"/>
    <w:rsid w:val="002C2110"/>
    <w:rsid w:val="002C3352"/>
    <w:rsid w:val="002C4D6D"/>
    <w:rsid w:val="002C5036"/>
    <w:rsid w:val="002D0008"/>
    <w:rsid w:val="002D103F"/>
    <w:rsid w:val="002D23CC"/>
    <w:rsid w:val="002D2D75"/>
    <w:rsid w:val="002D3284"/>
    <w:rsid w:val="002D468A"/>
    <w:rsid w:val="002E1519"/>
    <w:rsid w:val="002E1A7D"/>
    <w:rsid w:val="002E2A0B"/>
    <w:rsid w:val="002E309D"/>
    <w:rsid w:val="002E798A"/>
    <w:rsid w:val="002F156E"/>
    <w:rsid w:val="002F2AED"/>
    <w:rsid w:val="002F3415"/>
    <w:rsid w:val="002F403D"/>
    <w:rsid w:val="002F5300"/>
    <w:rsid w:val="00302C5A"/>
    <w:rsid w:val="00303FF7"/>
    <w:rsid w:val="00304199"/>
    <w:rsid w:val="00304CC7"/>
    <w:rsid w:val="00306CE9"/>
    <w:rsid w:val="00307A0B"/>
    <w:rsid w:val="00310C5F"/>
    <w:rsid w:val="00311922"/>
    <w:rsid w:val="00313514"/>
    <w:rsid w:val="0031365A"/>
    <w:rsid w:val="00315595"/>
    <w:rsid w:val="00317F48"/>
    <w:rsid w:val="003201E8"/>
    <w:rsid w:val="0032059F"/>
    <w:rsid w:val="00321E22"/>
    <w:rsid w:val="00322280"/>
    <w:rsid w:val="00324633"/>
    <w:rsid w:val="003300DD"/>
    <w:rsid w:val="00332B86"/>
    <w:rsid w:val="0033302D"/>
    <w:rsid w:val="00333D38"/>
    <w:rsid w:val="003352C8"/>
    <w:rsid w:val="0033549E"/>
    <w:rsid w:val="00336F70"/>
    <w:rsid w:val="003404C3"/>
    <w:rsid w:val="003414F1"/>
    <w:rsid w:val="003425F5"/>
    <w:rsid w:val="00343D0E"/>
    <w:rsid w:val="003470BC"/>
    <w:rsid w:val="00350FF4"/>
    <w:rsid w:val="003515E9"/>
    <w:rsid w:val="003519CE"/>
    <w:rsid w:val="00352016"/>
    <w:rsid w:val="00353A3E"/>
    <w:rsid w:val="00355E06"/>
    <w:rsid w:val="00357BEB"/>
    <w:rsid w:val="0036011E"/>
    <w:rsid w:val="00363103"/>
    <w:rsid w:val="00363616"/>
    <w:rsid w:val="003658B0"/>
    <w:rsid w:val="00367433"/>
    <w:rsid w:val="0036760A"/>
    <w:rsid w:val="00370B02"/>
    <w:rsid w:val="00371D27"/>
    <w:rsid w:val="003730CE"/>
    <w:rsid w:val="003744BC"/>
    <w:rsid w:val="00380072"/>
    <w:rsid w:val="00382964"/>
    <w:rsid w:val="0038303F"/>
    <w:rsid w:val="00385EB7"/>
    <w:rsid w:val="00386C34"/>
    <w:rsid w:val="00393BAA"/>
    <w:rsid w:val="00395687"/>
    <w:rsid w:val="003958CE"/>
    <w:rsid w:val="003A1787"/>
    <w:rsid w:val="003A38E6"/>
    <w:rsid w:val="003A3AAC"/>
    <w:rsid w:val="003A4CC0"/>
    <w:rsid w:val="003B1500"/>
    <w:rsid w:val="003B2E2F"/>
    <w:rsid w:val="003B328F"/>
    <w:rsid w:val="003C63DA"/>
    <w:rsid w:val="003C74A3"/>
    <w:rsid w:val="003D03D1"/>
    <w:rsid w:val="003D2E58"/>
    <w:rsid w:val="003D30C3"/>
    <w:rsid w:val="003D56F7"/>
    <w:rsid w:val="003E42D8"/>
    <w:rsid w:val="003E52AA"/>
    <w:rsid w:val="003F0866"/>
    <w:rsid w:val="003F0A4E"/>
    <w:rsid w:val="003F0CD1"/>
    <w:rsid w:val="003F3746"/>
    <w:rsid w:val="003F6FDD"/>
    <w:rsid w:val="0040114F"/>
    <w:rsid w:val="0040395D"/>
    <w:rsid w:val="00405D76"/>
    <w:rsid w:val="00406707"/>
    <w:rsid w:val="00406BDE"/>
    <w:rsid w:val="00406CFB"/>
    <w:rsid w:val="0041021E"/>
    <w:rsid w:val="004142CE"/>
    <w:rsid w:val="00420831"/>
    <w:rsid w:val="00420E96"/>
    <w:rsid w:val="00423DA9"/>
    <w:rsid w:val="004265EF"/>
    <w:rsid w:val="00427435"/>
    <w:rsid w:val="00431189"/>
    <w:rsid w:val="004324FB"/>
    <w:rsid w:val="004337F8"/>
    <w:rsid w:val="00434301"/>
    <w:rsid w:val="00435676"/>
    <w:rsid w:val="004374AC"/>
    <w:rsid w:val="004409B9"/>
    <w:rsid w:val="00440DEC"/>
    <w:rsid w:val="00441783"/>
    <w:rsid w:val="00442C87"/>
    <w:rsid w:val="004443E9"/>
    <w:rsid w:val="00445FD4"/>
    <w:rsid w:val="00446913"/>
    <w:rsid w:val="004504C5"/>
    <w:rsid w:val="00451DBC"/>
    <w:rsid w:val="00452C2C"/>
    <w:rsid w:val="004558A5"/>
    <w:rsid w:val="00457A97"/>
    <w:rsid w:val="00462EDE"/>
    <w:rsid w:val="00464580"/>
    <w:rsid w:val="00471B25"/>
    <w:rsid w:val="00471C5E"/>
    <w:rsid w:val="004738D0"/>
    <w:rsid w:val="00475EEE"/>
    <w:rsid w:val="00476CA8"/>
    <w:rsid w:val="004775A6"/>
    <w:rsid w:val="004807FF"/>
    <w:rsid w:val="00480EAC"/>
    <w:rsid w:val="0048186D"/>
    <w:rsid w:val="00481962"/>
    <w:rsid w:val="004857EE"/>
    <w:rsid w:val="00486018"/>
    <w:rsid w:val="00487964"/>
    <w:rsid w:val="00490B3D"/>
    <w:rsid w:val="00491177"/>
    <w:rsid w:val="0049271D"/>
    <w:rsid w:val="0049313E"/>
    <w:rsid w:val="00496779"/>
    <w:rsid w:val="0049754D"/>
    <w:rsid w:val="004A018A"/>
    <w:rsid w:val="004A1B22"/>
    <w:rsid w:val="004A2506"/>
    <w:rsid w:val="004A314B"/>
    <w:rsid w:val="004A3B82"/>
    <w:rsid w:val="004A4378"/>
    <w:rsid w:val="004A677C"/>
    <w:rsid w:val="004A7089"/>
    <w:rsid w:val="004A783D"/>
    <w:rsid w:val="004B07D3"/>
    <w:rsid w:val="004B16C9"/>
    <w:rsid w:val="004B1839"/>
    <w:rsid w:val="004B2D0F"/>
    <w:rsid w:val="004B3DF5"/>
    <w:rsid w:val="004B50E0"/>
    <w:rsid w:val="004B6E7D"/>
    <w:rsid w:val="004C1AC1"/>
    <w:rsid w:val="004C2022"/>
    <w:rsid w:val="004C3E20"/>
    <w:rsid w:val="004C3F03"/>
    <w:rsid w:val="004C4124"/>
    <w:rsid w:val="004C4BB6"/>
    <w:rsid w:val="004C5ACA"/>
    <w:rsid w:val="004D77AF"/>
    <w:rsid w:val="004D7D6A"/>
    <w:rsid w:val="004E06F3"/>
    <w:rsid w:val="004E0904"/>
    <w:rsid w:val="004E557D"/>
    <w:rsid w:val="004E5CE8"/>
    <w:rsid w:val="004E64B5"/>
    <w:rsid w:val="004F0B4D"/>
    <w:rsid w:val="004F1D3F"/>
    <w:rsid w:val="004F2A5C"/>
    <w:rsid w:val="004F43D7"/>
    <w:rsid w:val="004F4B68"/>
    <w:rsid w:val="00502223"/>
    <w:rsid w:val="00502F78"/>
    <w:rsid w:val="00506B08"/>
    <w:rsid w:val="00507A77"/>
    <w:rsid w:val="0051198C"/>
    <w:rsid w:val="00511ACE"/>
    <w:rsid w:val="00512D8E"/>
    <w:rsid w:val="00514505"/>
    <w:rsid w:val="00515E05"/>
    <w:rsid w:val="0052085B"/>
    <w:rsid w:val="00521DA9"/>
    <w:rsid w:val="005248F0"/>
    <w:rsid w:val="00525047"/>
    <w:rsid w:val="005318E1"/>
    <w:rsid w:val="0053758C"/>
    <w:rsid w:val="00537A7F"/>
    <w:rsid w:val="00541924"/>
    <w:rsid w:val="005419FE"/>
    <w:rsid w:val="00542B40"/>
    <w:rsid w:val="0055369B"/>
    <w:rsid w:val="00553DB9"/>
    <w:rsid w:val="00557A66"/>
    <w:rsid w:val="00560694"/>
    <w:rsid w:val="00560838"/>
    <w:rsid w:val="00562869"/>
    <w:rsid w:val="00562AFB"/>
    <w:rsid w:val="005637BA"/>
    <w:rsid w:val="005645A4"/>
    <w:rsid w:val="00566331"/>
    <w:rsid w:val="00567F90"/>
    <w:rsid w:val="005741BD"/>
    <w:rsid w:val="00574292"/>
    <w:rsid w:val="00574B6B"/>
    <w:rsid w:val="00575619"/>
    <w:rsid w:val="005763AD"/>
    <w:rsid w:val="00580FCF"/>
    <w:rsid w:val="00581FA5"/>
    <w:rsid w:val="00584863"/>
    <w:rsid w:val="00586048"/>
    <w:rsid w:val="005879A7"/>
    <w:rsid w:val="005908CD"/>
    <w:rsid w:val="005914FE"/>
    <w:rsid w:val="00593A37"/>
    <w:rsid w:val="00596A82"/>
    <w:rsid w:val="00597273"/>
    <w:rsid w:val="005A3A5B"/>
    <w:rsid w:val="005A5158"/>
    <w:rsid w:val="005A71A3"/>
    <w:rsid w:val="005B1004"/>
    <w:rsid w:val="005B110F"/>
    <w:rsid w:val="005B2B75"/>
    <w:rsid w:val="005B57E0"/>
    <w:rsid w:val="005C3F28"/>
    <w:rsid w:val="005C7055"/>
    <w:rsid w:val="005C72CE"/>
    <w:rsid w:val="005D0AF8"/>
    <w:rsid w:val="005D2A65"/>
    <w:rsid w:val="005D70C7"/>
    <w:rsid w:val="005D7348"/>
    <w:rsid w:val="005D74BF"/>
    <w:rsid w:val="005E0BA3"/>
    <w:rsid w:val="005E2254"/>
    <w:rsid w:val="005E27E8"/>
    <w:rsid w:val="005E3877"/>
    <w:rsid w:val="005E5EC1"/>
    <w:rsid w:val="005E648B"/>
    <w:rsid w:val="005E7077"/>
    <w:rsid w:val="005F4D6C"/>
    <w:rsid w:val="005F698D"/>
    <w:rsid w:val="0060079F"/>
    <w:rsid w:val="006011F6"/>
    <w:rsid w:val="00601E0F"/>
    <w:rsid w:val="00601FBB"/>
    <w:rsid w:val="00602966"/>
    <w:rsid w:val="00602FD0"/>
    <w:rsid w:val="00604B34"/>
    <w:rsid w:val="0060553B"/>
    <w:rsid w:val="00606390"/>
    <w:rsid w:val="006109BF"/>
    <w:rsid w:val="0061309F"/>
    <w:rsid w:val="00614235"/>
    <w:rsid w:val="00615222"/>
    <w:rsid w:val="006152D7"/>
    <w:rsid w:val="006156E8"/>
    <w:rsid w:val="006237A6"/>
    <w:rsid w:val="00625919"/>
    <w:rsid w:val="00625DC0"/>
    <w:rsid w:val="00627B80"/>
    <w:rsid w:val="00632B74"/>
    <w:rsid w:val="00633053"/>
    <w:rsid w:val="00635337"/>
    <w:rsid w:val="006359FF"/>
    <w:rsid w:val="00637736"/>
    <w:rsid w:val="00641D1D"/>
    <w:rsid w:val="00641DB4"/>
    <w:rsid w:val="0064257E"/>
    <w:rsid w:val="006440D8"/>
    <w:rsid w:val="00644EC6"/>
    <w:rsid w:val="00652089"/>
    <w:rsid w:val="006557E9"/>
    <w:rsid w:val="00655F73"/>
    <w:rsid w:val="00656B19"/>
    <w:rsid w:val="00662E49"/>
    <w:rsid w:val="006654E5"/>
    <w:rsid w:val="0066582E"/>
    <w:rsid w:val="006669CF"/>
    <w:rsid w:val="006671B4"/>
    <w:rsid w:val="006675C1"/>
    <w:rsid w:val="00667972"/>
    <w:rsid w:val="00671391"/>
    <w:rsid w:val="006728AE"/>
    <w:rsid w:val="006741C9"/>
    <w:rsid w:val="00676A95"/>
    <w:rsid w:val="0068147A"/>
    <w:rsid w:val="00682DB5"/>
    <w:rsid w:val="00684470"/>
    <w:rsid w:val="006849E2"/>
    <w:rsid w:val="00691663"/>
    <w:rsid w:val="00692981"/>
    <w:rsid w:val="006939D8"/>
    <w:rsid w:val="00694411"/>
    <w:rsid w:val="006952B7"/>
    <w:rsid w:val="00695772"/>
    <w:rsid w:val="006962DC"/>
    <w:rsid w:val="00697CBF"/>
    <w:rsid w:val="006A0036"/>
    <w:rsid w:val="006A15CC"/>
    <w:rsid w:val="006A1FDA"/>
    <w:rsid w:val="006A21B2"/>
    <w:rsid w:val="006A3BBF"/>
    <w:rsid w:val="006A3D56"/>
    <w:rsid w:val="006A410A"/>
    <w:rsid w:val="006B3A45"/>
    <w:rsid w:val="006C2669"/>
    <w:rsid w:val="006C6824"/>
    <w:rsid w:val="006C70F3"/>
    <w:rsid w:val="006D3C94"/>
    <w:rsid w:val="006D4469"/>
    <w:rsid w:val="006D6466"/>
    <w:rsid w:val="006D7177"/>
    <w:rsid w:val="006D7DD1"/>
    <w:rsid w:val="006E69A4"/>
    <w:rsid w:val="006F293A"/>
    <w:rsid w:val="006F759E"/>
    <w:rsid w:val="00701B1B"/>
    <w:rsid w:val="007029B3"/>
    <w:rsid w:val="00703395"/>
    <w:rsid w:val="0070372C"/>
    <w:rsid w:val="00705ACB"/>
    <w:rsid w:val="00707891"/>
    <w:rsid w:val="00710310"/>
    <w:rsid w:val="0071059B"/>
    <w:rsid w:val="007126AC"/>
    <w:rsid w:val="00712F4A"/>
    <w:rsid w:val="00713F0C"/>
    <w:rsid w:val="007148A9"/>
    <w:rsid w:val="00714E88"/>
    <w:rsid w:val="00715ECF"/>
    <w:rsid w:val="0071662C"/>
    <w:rsid w:val="007172C4"/>
    <w:rsid w:val="007206D2"/>
    <w:rsid w:val="0072071C"/>
    <w:rsid w:val="00722DAD"/>
    <w:rsid w:val="007236D8"/>
    <w:rsid w:val="007258CB"/>
    <w:rsid w:val="00726BC8"/>
    <w:rsid w:val="00727E96"/>
    <w:rsid w:val="00734532"/>
    <w:rsid w:val="00735CCA"/>
    <w:rsid w:val="00735EE6"/>
    <w:rsid w:val="00736E5F"/>
    <w:rsid w:val="007433DC"/>
    <w:rsid w:val="00746EE2"/>
    <w:rsid w:val="007474A9"/>
    <w:rsid w:val="0075287A"/>
    <w:rsid w:val="00753CA2"/>
    <w:rsid w:val="00753F77"/>
    <w:rsid w:val="00760E31"/>
    <w:rsid w:val="00760F7A"/>
    <w:rsid w:val="00764867"/>
    <w:rsid w:val="00765819"/>
    <w:rsid w:val="00766470"/>
    <w:rsid w:val="00766473"/>
    <w:rsid w:val="00766997"/>
    <w:rsid w:val="00770623"/>
    <w:rsid w:val="007706A5"/>
    <w:rsid w:val="00770702"/>
    <w:rsid w:val="00771000"/>
    <w:rsid w:val="00771B7C"/>
    <w:rsid w:val="0077303F"/>
    <w:rsid w:val="00777166"/>
    <w:rsid w:val="00777A8D"/>
    <w:rsid w:val="00780837"/>
    <w:rsid w:val="007843AE"/>
    <w:rsid w:val="007869E0"/>
    <w:rsid w:val="007939F8"/>
    <w:rsid w:val="00794F32"/>
    <w:rsid w:val="007A09DC"/>
    <w:rsid w:val="007A1C20"/>
    <w:rsid w:val="007A3677"/>
    <w:rsid w:val="007B0768"/>
    <w:rsid w:val="007B133D"/>
    <w:rsid w:val="007B34E9"/>
    <w:rsid w:val="007B46C4"/>
    <w:rsid w:val="007B6235"/>
    <w:rsid w:val="007B6734"/>
    <w:rsid w:val="007C13F0"/>
    <w:rsid w:val="007C1B01"/>
    <w:rsid w:val="007C288C"/>
    <w:rsid w:val="007C3484"/>
    <w:rsid w:val="007D0682"/>
    <w:rsid w:val="007D41BE"/>
    <w:rsid w:val="007D62D8"/>
    <w:rsid w:val="007E0B8C"/>
    <w:rsid w:val="007E1ED4"/>
    <w:rsid w:val="007E4396"/>
    <w:rsid w:val="007F02DC"/>
    <w:rsid w:val="007F6D0C"/>
    <w:rsid w:val="0080008A"/>
    <w:rsid w:val="008011AD"/>
    <w:rsid w:val="00801997"/>
    <w:rsid w:val="00807575"/>
    <w:rsid w:val="00810CD3"/>
    <w:rsid w:val="00813CAA"/>
    <w:rsid w:val="0081404E"/>
    <w:rsid w:val="0081527D"/>
    <w:rsid w:val="008152B5"/>
    <w:rsid w:val="00823701"/>
    <w:rsid w:val="00824D35"/>
    <w:rsid w:val="00825855"/>
    <w:rsid w:val="008324B1"/>
    <w:rsid w:val="00834F43"/>
    <w:rsid w:val="008365A4"/>
    <w:rsid w:val="00836DC8"/>
    <w:rsid w:val="00840D80"/>
    <w:rsid w:val="00840F23"/>
    <w:rsid w:val="008449BF"/>
    <w:rsid w:val="00846DF1"/>
    <w:rsid w:val="00852E0B"/>
    <w:rsid w:val="00854C52"/>
    <w:rsid w:val="00856588"/>
    <w:rsid w:val="008575BC"/>
    <w:rsid w:val="0086108E"/>
    <w:rsid w:val="00863626"/>
    <w:rsid w:val="00865516"/>
    <w:rsid w:val="008656DC"/>
    <w:rsid w:val="0086633F"/>
    <w:rsid w:val="008664A5"/>
    <w:rsid w:val="00867A9E"/>
    <w:rsid w:val="00870500"/>
    <w:rsid w:val="008705E7"/>
    <w:rsid w:val="0087170D"/>
    <w:rsid w:val="00874F47"/>
    <w:rsid w:val="00875028"/>
    <w:rsid w:val="0088155A"/>
    <w:rsid w:val="008835B8"/>
    <w:rsid w:val="00885240"/>
    <w:rsid w:val="0088677C"/>
    <w:rsid w:val="00887E83"/>
    <w:rsid w:val="0089371F"/>
    <w:rsid w:val="00893AE2"/>
    <w:rsid w:val="00894233"/>
    <w:rsid w:val="008946D7"/>
    <w:rsid w:val="00894A19"/>
    <w:rsid w:val="008A1184"/>
    <w:rsid w:val="008A203C"/>
    <w:rsid w:val="008A2903"/>
    <w:rsid w:val="008A35BC"/>
    <w:rsid w:val="008A41FD"/>
    <w:rsid w:val="008A496E"/>
    <w:rsid w:val="008A5DAE"/>
    <w:rsid w:val="008A6BF4"/>
    <w:rsid w:val="008A71F9"/>
    <w:rsid w:val="008A7346"/>
    <w:rsid w:val="008B1344"/>
    <w:rsid w:val="008B1B59"/>
    <w:rsid w:val="008B36DD"/>
    <w:rsid w:val="008C0525"/>
    <w:rsid w:val="008C2F39"/>
    <w:rsid w:val="008C59BD"/>
    <w:rsid w:val="008C6323"/>
    <w:rsid w:val="008D278C"/>
    <w:rsid w:val="008D29FB"/>
    <w:rsid w:val="008D4E85"/>
    <w:rsid w:val="008D5285"/>
    <w:rsid w:val="008D5AC7"/>
    <w:rsid w:val="008D7268"/>
    <w:rsid w:val="008D7357"/>
    <w:rsid w:val="008D7A53"/>
    <w:rsid w:val="008E607B"/>
    <w:rsid w:val="008E6CD6"/>
    <w:rsid w:val="008E7500"/>
    <w:rsid w:val="008F234F"/>
    <w:rsid w:val="008F4C7C"/>
    <w:rsid w:val="0090382A"/>
    <w:rsid w:val="0090507B"/>
    <w:rsid w:val="00915A40"/>
    <w:rsid w:val="00915B27"/>
    <w:rsid w:val="009173E3"/>
    <w:rsid w:val="00917BCC"/>
    <w:rsid w:val="00920906"/>
    <w:rsid w:val="00927DC7"/>
    <w:rsid w:val="00930774"/>
    <w:rsid w:val="0093234E"/>
    <w:rsid w:val="00933C69"/>
    <w:rsid w:val="009341AB"/>
    <w:rsid w:val="009366F9"/>
    <w:rsid w:val="00940FD9"/>
    <w:rsid w:val="00941A7E"/>
    <w:rsid w:val="009420A2"/>
    <w:rsid w:val="00942C1E"/>
    <w:rsid w:val="00943387"/>
    <w:rsid w:val="00945F6A"/>
    <w:rsid w:val="00946453"/>
    <w:rsid w:val="009523D2"/>
    <w:rsid w:val="00953FEC"/>
    <w:rsid w:val="00954CAF"/>
    <w:rsid w:val="0096021D"/>
    <w:rsid w:val="00967150"/>
    <w:rsid w:val="00967BB6"/>
    <w:rsid w:val="00970540"/>
    <w:rsid w:val="009707F5"/>
    <w:rsid w:val="009728D6"/>
    <w:rsid w:val="0097297A"/>
    <w:rsid w:val="00972B1B"/>
    <w:rsid w:val="009819DB"/>
    <w:rsid w:val="0098226F"/>
    <w:rsid w:val="009854A6"/>
    <w:rsid w:val="009857C7"/>
    <w:rsid w:val="00986B40"/>
    <w:rsid w:val="00986DAC"/>
    <w:rsid w:val="009876C0"/>
    <w:rsid w:val="0099007C"/>
    <w:rsid w:val="009902E4"/>
    <w:rsid w:val="00990D5D"/>
    <w:rsid w:val="0099207C"/>
    <w:rsid w:val="00992EDA"/>
    <w:rsid w:val="009975AD"/>
    <w:rsid w:val="009A0648"/>
    <w:rsid w:val="009A13EC"/>
    <w:rsid w:val="009A23E4"/>
    <w:rsid w:val="009A5C06"/>
    <w:rsid w:val="009A6821"/>
    <w:rsid w:val="009A7036"/>
    <w:rsid w:val="009B0B6D"/>
    <w:rsid w:val="009B0BF8"/>
    <w:rsid w:val="009B1200"/>
    <w:rsid w:val="009B2DC2"/>
    <w:rsid w:val="009B4F1F"/>
    <w:rsid w:val="009C0FCD"/>
    <w:rsid w:val="009C2B98"/>
    <w:rsid w:val="009C413F"/>
    <w:rsid w:val="009C44E2"/>
    <w:rsid w:val="009C63B0"/>
    <w:rsid w:val="009D154C"/>
    <w:rsid w:val="009D17FB"/>
    <w:rsid w:val="009D2207"/>
    <w:rsid w:val="009D22E8"/>
    <w:rsid w:val="009D2F22"/>
    <w:rsid w:val="009D63E7"/>
    <w:rsid w:val="009D68C1"/>
    <w:rsid w:val="009D7638"/>
    <w:rsid w:val="009E1B35"/>
    <w:rsid w:val="009E3758"/>
    <w:rsid w:val="009E6EE1"/>
    <w:rsid w:val="009E6F4A"/>
    <w:rsid w:val="009E7764"/>
    <w:rsid w:val="009E7F72"/>
    <w:rsid w:val="009F3EA8"/>
    <w:rsid w:val="009F57F5"/>
    <w:rsid w:val="009F6909"/>
    <w:rsid w:val="00A00190"/>
    <w:rsid w:val="00A026A5"/>
    <w:rsid w:val="00A05A7F"/>
    <w:rsid w:val="00A05B7E"/>
    <w:rsid w:val="00A0659E"/>
    <w:rsid w:val="00A11646"/>
    <w:rsid w:val="00A14D2E"/>
    <w:rsid w:val="00A22A18"/>
    <w:rsid w:val="00A255D5"/>
    <w:rsid w:val="00A26A9C"/>
    <w:rsid w:val="00A3166B"/>
    <w:rsid w:val="00A3344D"/>
    <w:rsid w:val="00A337BB"/>
    <w:rsid w:val="00A3521A"/>
    <w:rsid w:val="00A36BCC"/>
    <w:rsid w:val="00A432EC"/>
    <w:rsid w:val="00A44616"/>
    <w:rsid w:val="00A44845"/>
    <w:rsid w:val="00A44BFD"/>
    <w:rsid w:val="00A46C71"/>
    <w:rsid w:val="00A46DEC"/>
    <w:rsid w:val="00A4709C"/>
    <w:rsid w:val="00A47B42"/>
    <w:rsid w:val="00A51B30"/>
    <w:rsid w:val="00A55254"/>
    <w:rsid w:val="00A567F3"/>
    <w:rsid w:val="00A6344D"/>
    <w:rsid w:val="00A641EC"/>
    <w:rsid w:val="00A67725"/>
    <w:rsid w:val="00A67EFB"/>
    <w:rsid w:val="00A700B0"/>
    <w:rsid w:val="00A701AE"/>
    <w:rsid w:val="00A778D6"/>
    <w:rsid w:val="00A82DE7"/>
    <w:rsid w:val="00A84BEA"/>
    <w:rsid w:val="00A85732"/>
    <w:rsid w:val="00A86E47"/>
    <w:rsid w:val="00A91466"/>
    <w:rsid w:val="00A9540D"/>
    <w:rsid w:val="00A95C0D"/>
    <w:rsid w:val="00A9632C"/>
    <w:rsid w:val="00A96814"/>
    <w:rsid w:val="00A96F07"/>
    <w:rsid w:val="00AA295E"/>
    <w:rsid w:val="00AA503E"/>
    <w:rsid w:val="00AA562F"/>
    <w:rsid w:val="00AA56FF"/>
    <w:rsid w:val="00AB15A0"/>
    <w:rsid w:val="00AB3F50"/>
    <w:rsid w:val="00AB50C9"/>
    <w:rsid w:val="00AB51A3"/>
    <w:rsid w:val="00AB5F15"/>
    <w:rsid w:val="00AB6A1D"/>
    <w:rsid w:val="00AB7BFE"/>
    <w:rsid w:val="00AC5C3D"/>
    <w:rsid w:val="00AD099C"/>
    <w:rsid w:val="00AD5C10"/>
    <w:rsid w:val="00AD5DB4"/>
    <w:rsid w:val="00AE07AB"/>
    <w:rsid w:val="00AE478E"/>
    <w:rsid w:val="00AE4DDD"/>
    <w:rsid w:val="00AE59F7"/>
    <w:rsid w:val="00AF123F"/>
    <w:rsid w:val="00AF1D8E"/>
    <w:rsid w:val="00AF2570"/>
    <w:rsid w:val="00AF2BE3"/>
    <w:rsid w:val="00AF416D"/>
    <w:rsid w:val="00AF7065"/>
    <w:rsid w:val="00B0117F"/>
    <w:rsid w:val="00B033FB"/>
    <w:rsid w:val="00B0640A"/>
    <w:rsid w:val="00B10153"/>
    <w:rsid w:val="00B10A30"/>
    <w:rsid w:val="00B10A5B"/>
    <w:rsid w:val="00B11480"/>
    <w:rsid w:val="00B1236A"/>
    <w:rsid w:val="00B12871"/>
    <w:rsid w:val="00B16BAA"/>
    <w:rsid w:val="00B17A21"/>
    <w:rsid w:val="00B20D24"/>
    <w:rsid w:val="00B22282"/>
    <w:rsid w:val="00B2346F"/>
    <w:rsid w:val="00B248EB"/>
    <w:rsid w:val="00B316F5"/>
    <w:rsid w:val="00B35BDF"/>
    <w:rsid w:val="00B409C5"/>
    <w:rsid w:val="00B41776"/>
    <w:rsid w:val="00B44855"/>
    <w:rsid w:val="00B44C6F"/>
    <w:rsid w:val="00B518BE"/>
    <w:rsid w:val="00B527FB"/>
    <w:rsid w:val="00B52947"/>
    <w:rsid w:val="00B52DDF"/>
    <w:rsid w:val="00B5355F"/>
    <w:rsid w:val="00B576A3"/>
    <w:rsid w:val="00B60BFF"/>
    <w:rsid w:val="00B63796"/>
    <w:rsid w:val="00B6419D"/>
    <w:rsid w:val="00B6495B"/>
    <w:rsid w:val="00B649C4"/>
    <w:rsid w:val="00B70872"/>
    <w:rsid w:val="00B70CC4"/>
    <w:rsid w:val="00B71528"/>
    <w:rsid w:val="00B74278"/>
    <w:rsid w:val="00B76DD5"/>
    <w:rsid w:val="00B825C2"/>
    <w:rsid w:val="00B8449B"/>
    <w:rsid w:val="00B8462E"/>
    <w:rsid w:val="00B85EDB"/>
    <w:rsid w:val="00B87F60"/>
    <w:rsid w:val="00B92681"/>
    <w:rsid w:val="00BA0266"/>
    <w:rsid w:val="00BA2963"/>
    <w:rsid w:val="00BA3FCE"/>
    <w:rsid w:val="00BA5D0C"/>
    <w:rsid w:val="00BB2AC9"/>
    <w:rsid w:val="00BB3DC4"/>
    <w:rsid w:val="00BB4153"/>
    <w:rsid w:val="00BB45E5"/>
    <w:rsid w:val="00BC0595"/>
    <w:rsid w:val="00BC2B4E"/>
    <w:rsid w:val="00BC396E"/>
    <w:rsid w:val="00BD15B6"/>
    <w:rsid w:val="00BD1843"/>
    <w:rsid w:val="00BD2CEB"/>
    <w:rsid w:val="00BD2EDD"/>
    <w:rsid w:val="00BD41B3"/>
    <w:rsid w:val="00BD4DC6"/>
    <w:rsid w:val="00BD6D9E"/>
    <w:rsid w:val="00BE2242"/>
    <w:rsid w:val="00BE28D9"/>
    <w:rsid w:val="00BE4885"/>
    <w:rsid w:val="00BE56E4"/>
    <w:rsid w:val="00BE5DD2"/>
    <w:rsid w:val="00BE6B81"/>
    <w:rsid w:val="00BF228D"/>
    <w:rsid w:val="00C00104"/>
    <w:rsid w:val="00C02826"/>
    <w:rsid w:val="00C0390A"/>
    <w:rsid w:val="00C06A81"/>
    <w:rsid w:val="00C07696"/>
    <w:rsid w:val="00C11854"/>
    <w:rsid w:val="00C11BCB"/>
    <w:rsid w:val="00C11D62"/>
    <w:rsid w:val="00C172E2"/>
    <w:rsid w:val="00C17665"/>
    <w:rsid w:val="00C176FB"/>
    <w:rsid w:val="00C20CAC"/>
    <w:rsid w:val="00C21139"/>
    <w:rsid w:val="00C236E6"/>
    <w:rsid w:val="00C277D5"/>
    <w:rsid w:val="00C328DA"/>
    <w:rsid w:val="00C32E36"/>
    <w:rsid w:val="00C337AC"/>
    <w:rsid w:val="00C369F3"/>
    <w:rsid w:val="00C37893"/>
    <w:rsid w:val="00C4073C"/>
    <w:rsid w:val="00C40EF1"/>
    <w:rsid w:val="00C43469"/>
    <w:rsid w:val="00C4517A"/>
    <w:rsid w:val="00C473EE"/>
    <w:rsid w:val="00C51183"/>
    <w:rsid w:val="00C541EE"/>
    <w:rsid w:val="00C54ABF"/>
    <w:rsid w:val="00C568EA"/>
    <w:rsid w:val="00C56ECC"/>
    <w:rsid w:val="00C56FFC"/>
    <w:rsid w:val="00C572FE"/>
    <w:rsid w:val="00C5742D"/>
    <w:rsid w:val="00C57F05"/>
    <w:rsid w:val="00C615F3"/>
    <w:rsid w:val="00C645B6"/>
    <w:rsid w:val="00C64B86"/>
    <w:rsid w:val="00C64D9C"/>
    <w:rsid w:val="00C74346"/>
    <w:rsid w:val="00C77DBA"/>
    <w:rsid w:val="00C803B1"/>
    <w:rsid w:val="00C81B5D"/>
    <w:rsid w:val="00C83DE9"/>
    <w:rsid w:val="00C87125"/>
    <w:rsid w:val="00C90784"/>
    <w:rsid w:val="00C90AF8"/>
    <w:rsid w:val="00C913CF"/>
    <w:rsid w:val="00C93AA2"/>
    <w:rsid w:val="00C93F2E"/>
    <w:rsid w:val="00C97A04"/>
    <w:rsid w:val="00CA0EB0"/>
    <w:rsid w:val="00CA1FD0"/>
    <w:rsid w:val="00CA3597"/>
    <w:rsid w:val="00CA5973"/>
    <w:rsid w:val="00CA68C5"/>
    <w:rsid w:val="00CA6E42"/>
    <w:rsid w:val="00CA7B59"/>
    <w:rsid w:val="00CB03E8"/>
    <w:rsid w:val="00CB31C0"/>
    <w:rsid w:val="00CB4826"/>
    <w:rsid w:val="00CB54F6"/>
    <w:rsid w:val="00CC0492"/>
    <w:rsid w:val="00CC0D3C"/>
    <w:rsid w:val="00CC1086"/>
    <w:rsid w:val="00CC5195"/>
    <w:rsid w:val="00CC571B"/>
    <w:rsid w:val="00CC7C5B"/>
    <w:rsid w:val="00CD19B8"/>
    <w:rsid w:val="00CD4BBA"/>
    <w:rsid w:val="00CD5C7B"/>
    <w:rsid w:val="00CD7596"/>
    <w:rsid w:val="00CE097A"/>
    <w:rsid w:val="00CE1150"/>
    <w:rsid w:val="00CE22AB"/>
    <w:rsid w:val="00CE234E"/>
    <w:rsid w:val="00CE634B"/>
    <w:rsid w:val="00CF543B"/>
    <w:rsid w:val="00CF66BD"/>
    <w:rsid w:val="00CF69A2"/>
    <w:rsid w:val="00D0154E"/>
    <w:rsid w:val="00D01B0A"/>
    <w:rsid w:val="00D024BB"/>
    <w:rsid w:val="00D03FBB"/>
    <w:rsid w:val="00D04A3C"/>
    <w:rsid w:val="00D065FD"/>
    <w:rsid w:val="00D11A3D"/>
    <w:rsid w:val="00D15D39"/>
    <w:rsid w:val="00D209B2"/>
    <w:rsid w:val="00D216F0"/>
    <w:rsid w:val="00D22FD9"/>
    <w:rsid w:val="00D241D5"/>
    <w:rsid w:val="00D2452D"/>
    <w:rsid w:val="00D26DA7"/>
    <w:rsid w:val="00D27DA9"/>
    <w:rsid w:val="00D32BF4"/>
    <w:rsid w:val="00D33AC3"/>
    <w:rsid w:val="00D34921"/>
    <w:rsid w:val="00D350C6"/>
    <w:rsid w:val="00D3591B"/>
    <w:rsid w:val="00D35E47"/>
    <w:rsid w:val="00D36CF4"/>
    <w:rsid w:val="00D42173"/>
    <w:rsid w:val="00D43031"/>
    <w:rsid w:val="00D43C86"/>
    <w:rsid w:val="00D449A8"/>
    <w:rsid w:val="00D4571C"/>
    <w:rsid w:val="00D47303"/>
    <w:rsid w:val="00D5427A"/>
    <w:rsid w:val="00D544CF"/>
    <w:rsid w:val="00D60286"/>
    <w:rsid w:val="00D61547"/>
    <w:rsid w:val="00D64F30"/>
    <w:rsid w:val="00D66B3C"/>
    <w:rsid w:val="00D6724C"/>
    <w:rsid w:val="00D72B34"/>
    <w:rsid w:val="00D73175"/>
    <w:rsid w:val="00D74291"/>
    <w:rsid w:val="00D75BC4"/>
    <w:rsid w:val="00D76052"/>
    <w:rsid w:val="00D778F5"/>
    <w:rsid w:val="00D77D11"/>
    <w:rsid w:val="00D82C0D"/>
    <w:rsid w:val="00D84485"/>
    <w:rsid w:val="00D84687"/>
    <w:rsid w:val="00D8614F"/>
    <w:rsid w:val="00D8630A"/>
    <w:rsid w:val="00D91484"/>
    <w:rsid w:val="00D95513"/>
    <w:rsid w:val="00DA0F3C"/>
    <w:rsid w:val="00DA1B19"/>
    <w:rsid w:val="00DA311C"/>
    <w:rsid w:val="00DA3710"/>
    <w:rsid w:val="00DA4D20"/>
    <w:rsid w:val="00DA5F94"/>
    <w:rsid w:val="00DA6263"/>
    <w:rsid w:val="00DA6738"/>
    <w:rsid w:val="00DA75E6"/>
    <w:rsid w:val="00DB087A"/>
    <w:rsid w:val="00DB0F58"/>
    <w:rsid w:val="00DB12C3"/>
    <w:rsid w:val="00DB1C86"/>
    <w:rsid w:val="00DB7F8B"/>
    <w:rsid w:val="00DC1FF0"/>
    <w:rsid w:val="00DC24C6"/>
    <w:rsid w:val="00DC32F9"/>
    <w:rsid w:val="00DC38D5"/>
    <w:rsid w:val="00DC60F4"/>
    <w:rsid w:val="00DD0F72"/>
    <w:rsid w:val="00DD2462"/>
    <w:rsid w:val="00DD51E5"/>
    <w:rsid w:val="00DD72AB"/>
    <w:rsid w:val="00DD78FE"/>
    <w:rsid w:val="00DE015D"/>
    <w:rsid w:val="00DE0B0A"/>
    <w:rsid w:val="00DE0E91"/>
    <w:rsid w:val="00DE12D9"/>
    <w:rsid w:val="00DE28A4"/>
    <w:rsid w:val="00DE297C"/>
    <w:rsid w:val="00DE63FF"/>
    <w:rsid w:val="00DE721A"/>
    <w:rsid w:val="00DE7CA2"/>
    <w:rsid w:val="00DF3CAC"/>
    <w:rsid w:val="00DF67E8"/>
    <w:rsid w:val="00DF705A"/>
    <w:rsid w:val="00DF7CBF"/>
    <w:rsid w:val="00DF7FA2"/>
    <w:rsid w:val="00E001E1"/>
    <w:rsid w:val="00E00424"/>
    <w:rsid w:val="00E07DAC"/>
    <w:rsid w:val="00E146A5"/>
    <w:rsid w:val="00E147D4"/>
    <w:rsid w:val="00E14E32"/>
    <w:rsid w:val="00E156BF"/>
    <w:rsid w:val="00E16D21"/>
    <w:rsid w:val="00E17E19"/>
    <w:rsid w:val="00E20DDE"/>
    <w:rsid w:val="00E242FB"/>
    <w:rsid w:val="00E24E2B"/>
    <w:rsid w:val="00E25CB3"/>
    <w:rsid w:val="00E26086"/>
    <w:rsid w:val="00E33FC9"/>
    <w:rsid w:val="00E37AAF"/>
    <w:rsid w:val="00E423FE"/>
    <w:rsid w:val="00E43676"/>
    <w:rsid w:val="00E45A3A"/>
    <w:rsid w:val="00E4628E"/>
    <w:rsid w:val="00E50109"/>
    <w:rsid w:val="00E51040"/>
    <w:rsid w:val="00E5344F"/>
    <w:rsid w:val="00E53A72"/>
    <w:rsid w:val="00E53B5B"/>
    <w:rsid w:val="00E558F5"/>
    <w:rsid w:val="00E567D6"/>
    <w:rsid w:val="00E568E3"/>
    <w:rsid w:val="00E56B17"/>
    <w:rsid w:val="00E60738"/>
    <w:rsid w:val="00E61E5A"/>
    <w:rsid w:val="00E64551"/>
    <w:rsid w:val="00E64A35"/>
    <w:rsid w:val="00E65AA5"/>
    <w:rsid w:val="00E66835"/>
    <w:rsid w:val="00E70614"/>
    <w:rsid w:val="00E720D6"/>
    <w:rsid w:val="00E72C15"/>
    <w:rsid w:val="00E73114"/>
    <w:rsid w:val="00E767A0"/>
    <w:rsid w:val="00E76D53"/>
    <w:rsid w:val="00E76E57"/>
    <w:rsid w:val="00E8090C"/>
    <w:rsid w:val="00E80AAE"/>
    <w:rsid w:val="00E8245A"/>
    <w:rsid w:val="00E83182"/>
    <w:rsid w:val="00E83618"/>
    <w:rsid w:val="00E836E1"/>
    <w:rsid w:val="00E86489"/>
    <w:rsid w:val="00E902E5"/>
    <w:rsid w:val="00E9387C"/>
    <w:rsid w:val="00E95BBF"/>
    <w:rsid w:val="00EA03C9"/>
    <w:rsid w:val="00EA0547"/>
    <w:rsid w:val="00EA376E"/>
    <w:rsid w:val="00EA4151"/>
    <w:rsid w:val="00EA51EF"/>
    <w:rsid w:val="00EA6A84"/>
    <w:rsid w:val="00EA7967"/>
    <w:rsid w:val="00EB168F"/>
    <w:rsid w:val="00EB213A"/>
    <w:rsid w:val="00EB522F"/>
    <w:rsid w:val="00EB5593"/>
    <w:rsid w:val="00EB676C"/>
    <w:rsid w:val="00EC0C16"/>
    <w:rsid w:val="00EC152D"/>
    <w:rsid w:val="00EC1C5E"/>
    <w:rsid w:val="00EC5302"/>
    <w:rsid w:val="00EC659D"/>
    <w:rsid w:val="00EC6BB2"/>
    <w:rsid w:val="00EC6C00"/>
    <w:rsid w:val="00EC7AD0"/>
    <w:rsid w:val="00EC7D06"/>
    <w:rsid w:val="00ED0620"/>
    <w:rsid w:val="00ED11AF"/>
    <w:rsid w:val="00ED273A"/>
    <w:rsid w:val="00ED3373"/>
    <w:rsid w:val="00ED54DC"/>
    <w:rsid w:val="00ED592D"/>
    <w:rsid w:val="00ED6932"/>
    <w:rsid w:val="00ED6982"/>
    <w:rsid w:val="00ED720F"/>
    <w:rsid w:val="00ED7AA0"/>
    <w:rsid w:val="00EE130E"/>
    <w:rsid w:val="00EE1E0D"/>
    <w:rsid w:val="00EE6185"/>
    <w:rsid w:val="00EE65F4"/>
    <w:rsid w:val="00EF1A34"/>
    <w:rsid w:val="00F02732"/>
    <w:rsid w:val="00F037F4"/>
    <w:rsid w:val="00F05AA1"/>
    <w:rsid w:val="00F05B8C"/>
    <w:rsid w:val="00F06784"/>
    <w:rsid w:val="00F10B5A"/>
    <w:rsid w:val="00F11D45"/>
    <w:rsid w:val="00F17307"/>
    <w:rsid w:val="00F20A7B"/>
    <w:rsid w:val="00F20C6C"/>
    <w:rsid w:val="00F23716"/>
    <w:rsid w:val="00F24B14"/>
    <w:rsid w:val="00F2567A"/>
    <w:rsid w:val="00F27282"/>
    <w:rsid w:val="00F3160C"/>
    <w:rsid w:val="00F31AD9"/>
    <w:rsid w:val="00F34321"/>
    <w:rsid w:val="00F41997"/>
    <w:rsid w:val="00F41F61"/>
    <w:rsid w:val="00F4342B"/>
    <w:rsid w:val="00F44ED0"/>
    <w:rsid w:val="00F45A66"/>
    <w:rsid w:val="00F50E03"/>
    <w:rsid w:val="00F523DF"/>
    <w:rsid w:val="00F54AF2"/>
    <w:rsid w:val="00F56E3B"/>
    <w:rsid w:val="00F57835"/>
    <w:rsid w:val="00F64802"/>
    <w:rsid w:val="00F66481"/>
    <w:rsid w:val="00F67EB2"/>
    <w:rsid w:val="00F76103"/>
    <w:rsid w:val="00F76F27"/>
    <w:rsid w:val="00F83F09"/>
    <w:rsid w:val="00F85F8F"/>
    <w:rsid w:val="00F90CFF"/>
    <w:rsid w:val="00F932EA"/>
    <w:rsid w:val="00F942F8"/>
    <w:rsid w:val="00FA19D0"/>
    <w:rsid w:val="00FA2F26"/>
    <w:rsid w:val="00FA44CA"/>
    <w:rsid w:val="00FB2CAD"/>
    <w:rsid w:val="00FB41B6"/>
    <w:rsid w:val="00FB4A6B"/>
    <w:rsid w:val="00FB4DBB"/>
    <w:rsid w:val="00FC03FF"/>
    <w:rsid w:val="00FC165D"/>
    <w:rsid w:val="00FC17D1"/>
    <w:rsid w:val="00FC2CEA"/>
    <w:rsid w:val="00FC3D1A"/>
    <w:rsid w:val="00FC4727"/>
    <w:rsid w:val="00FC628A"/>
    <w:rsid w:val="00FC7548"/>
    <w:rsid w:val="00FD0F28"/>
    <w:rsid w:val="00FD2010"/>
    <w:rsid w:val="00FD383B"/>
    <w:rsid w:val="00FD43BC"/>
    <w:rsid w:val="00FD5966"/>
    <w:rsid w:val="00FD5A8C"/>
    <w:rsid w:val="00FD7BFA"/>
    <w:rsid w:val="00FE0C11"/>
    <w:rsid w:val="00FE0EDE"/>
    <w:rsid w:val="00FE196D"/>
    <w:rsid w:val="00FE2831"/>
    <w:rsid w:val="00FE3745"/>
    <w:rsid w:val="00FE4E1D"/>
    <w:rsid w:val="00FF0C7E"/>
    <w:rsid w:val="00FF16A2"/>
    <w:rsid w:val="00FF24C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65FD28"/>
  <w15:chartTrackingRefBased/>
  <w15:docId w15:val="{41DD7E36-3B4A-4475-9945-4BEEB41C9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2A65"/>
    <w:pPr>
      <w:spacing w:after="0" w:line="360" w:lineRule="auto"/>
      <w:ind w:firstLine="851"/>
      <w:jc w:val="both"/>
    </w:pPr>
    <w:rPr>
      <w:rFonts w:ascii="Times New Roman" w:eastAsia="Calibri" w:hAnsi="Times New Roman" w:cs="Arial"/>
      <w:b/>
      <w:sz w:val="24"/>
      <w:szCs w:val="24"/>
    </w:rPr>
  </w:style>
  <w:style w:type="paragraph" w:styleId="Ttulo1">
    <w:name w:val="heading 1"/>
    <w:basedOn w:val="Normal"/>
    <w:next w:val="Normal"/>
    <w:link w:val="Ttulo1Char"/>
    <w:uiPriority w:val="9"/>
    <w:qFormat/>
    <w:rsid w:val="00662E49"/>
    <w:pPr>
      <w:keepNext/>
      <w:keepLines/>
      <w:numPr>
        <w:numId w:val="1"/>
      </w:numPr>
      <w:ind w:left="431" w:hanging="431"/>
      <w:outlineLvl w:val="0"/>
    </w:pPr>
    <w:rPr>
      <w:rFonts w:eastAsia="Times New Roman" w:cs="Times New Roman"/>
      <w:bCs/>
      <w:szCs w:val="28"/>
    </w:rPr>
  </w:style>
  <w:style w:type="paragraph" w:styleId="Ttulo2">
    <w:name w:val="heading 2"/>
    <w:aliases w:val="subtítulo"/>
    <w:basedOn w:val="Normal"/>
    <w:next w:val="Normal"/>
    <w:link w:val="Ttulo2Char"/>
    <w:autoRedefine/>
    <w:uiPriority w:val="9"/>
    <w:unhideWhenUsed/>
    <w:qFormat/>
    <w:rsid w:val="004B07D3"/>
    <w:pPr>
      <w:keepNext/>
      <w:keepLines/>
      <w:numPr>
        <w:ilvl w:val="1"/>
        <w:numId w:val="1"/>
      </w:numPr>
      <w:outlineLvl w:val="1"/>
    </w:pPr>
    <w:rPr>
      <w:rFonts w:eastAsiaTheme="majorEastAsia" w:cs="Times New Roman"/>
      <w:bCs/>
      <w:color w:val="000000" w:themeColor="text1"/>
    </w:rPr>
  </w:style>
  <w:style w:type="paragraph" w:styleId="Ttulo3">
    <w:name w:val="heading 3"/>
    <w:basedOn w:val="PargrafodaLista"/>
    <w:next w:val="Normal"/>
    <w:link w:val="Ttulo3Char"/>
    <w:uiPriority w:val="9"/>
    <w:unhideWhenUsed/>
    <w:qFormat/>
    <w:rsid w:val="00662E49"/>
    <w:pPr>
      <w:numPr>
        <w:ilvl w:val="2"/>
        <w:numId w:val="1"/>
      </w:numPr>
      <w:spacing w:after="0" w:line="360" w:lineRule="auto"/>
      <w:outlineLvl w:val="2"/>
    </w:pPr>
    <w:rPr>
      <w:rFonts w:ascii="Times New Roman" w:hAnsi="Times New Roman"/>
      <w:sz w:val="24"/>
    </w:rPr>
  </w:style>
  <w:style w:type="paragraph" w:styleId="Ttulo4">
    <w:name w:val="heading 4"/>
    <w:basedOn w:val="Normal"/>
    <w:next w:val="Normal"/>
    <w:link w:val="Ttulo4Char"/>
    <w:uiPriority w:val="9"/>
    <w:unhideWhenUsed/>
    <w:qFormat/>
    <w:rsid w:val="00662E49"/>
    <w:pPr>
      <w:keepNext/>
      <w:keepLines/>
      <w:numPr>
        <w:ilvl w:val="3"/>
        <w:numId w:val="1"/>
      </w:numPr>
      <w:spacing w:before="200"/>
      <w:outlineLvl w:val="3"/>
    </w:pPr>
    <w:rPr>
      <w:rFonts w:asciiTheme="majorHAnsi" w:eastAsiaTheme="majorEastAsia" w:hAnsiTheme="majorHAnsi" w:cstheme="majorBidi"/>
      <w:bCs/>
      <w:i/>
      <w:iCs/>
      <w:color w:val="4472C4" w:themeColor="accent1"/>
      <w:szCs w:val="22"/>
    </w:rPr>
  </w:style>
  <w:style w:type="paragraph" w:styleId="Ttulo5">
    <w:name w:val="heading 5"/>
    <w:basedOn w:val="Normal"/>
    <w:next w:val="Normal"/>
    <w:link w:val="Ttulo5Char"/>
    <w:uiPriority w:val="9"/>
    <w:semiHidden/>
    <w:unhideWhenUsed/>
    <w:qFormat/>
    <w:rsid w:val="00662E49"/>
    <w:pPr>
      <w:keepNext/>
      <w:keepLines/>
      <w:numPr>
        <w:ilvl w:val="4"/>
        <w:numId w:val="1"/>
      </w:numPr>
      <w:spacing w:before="200"/>
      <w:outlineLvl w:val="4"/>
    </w:pPr>
    <w:rPr>
      <w:rFonts w:asciiTheme="majorHAnsi" w:eastAsiaTheme="majorEastAsia" w:hAnsiTheme="majorHAnsi" w:cstheme="majorBidi"/>
      <w:b w:val="0"/>
      <w:color w:val="1F3763" w:themeColor="accent1" w:themeShade="7F"/>
      <w:szCs w:val="22"/>
    </w:rPr>
  </w:style>
  <w:style w:type="paragraph" w:styleId="Ttulo6">
    <w:name w:val="heading 6"/>
    <w:basedOn w:val="Normal"/>
    <w:next w:val="Normal"/>
    <w:link w:val="Ttulo6Char"/>
    <w:uiPriority w:val="9"/>
    <w:semiHidden/>
    <w:unhideWhenUsed/>
    <w:qFormat/>
    <w:rsid w:val="00662E49"/>
    <w:pPr>
      <w:keepNext/>
      <w:keepLines/>
      <w:numPr>
        <w:ilvl w:val="5"/>
        <w:numId w:val="1"/>
      </w:numPr>
      <w:spacing w:before="200"/>
      <w:outlineLvl w:val="5"/>
    </w:pPr>
    <w:rPr>
      <w:rFonts w:asciiTheme="majorHAnsi" w:eastAsiaTheme="majorEastAsia" w:hAnsiTheme="majorHAnsi" w:cstheme="majorBidi"/>
      <w:b w:val="0"/>
      <w:i/>
      <w:iCs/>
      <w:color w:val="1F3763" w:themeColor="accent1" w:themeShade="7F"/>
      <w:szCs w:val="22"/>
    </w:rPr>
  </w:style>
  <w:style w:type="paragraph" w:styleId="Ttulo7">
    <w:name w:val="heading 7"/>
    <w:basedOn w:val="Normal"/>
    <w:next w:val="Normal"/>
    <w:link w:val="Ttulo7Char"/>
    <w:uiPriority w:val="9"/>
    <w:semiHidden/>
    <w:unhideWhenUsed/>
    <w:qFormat/>
    <w:rsid w:val="00662E49"/>
    <w:pPr>
      <w:keepNext/>
      <w:keepLines/>
      <w:numPr>
        <w:ilvl w:val="6"/>
        <w:numId w:val="1"/>
      </w:numPr>
      <w:spacing w:before="200"/>
      <w:outlineLvl w:val="6"/>
    </w:pPr>
    <w:rPr>
      <w:rFonts w:asciiTheme="majorHAnsi" w:eastAsiaTheme="majorEastAsia" w:hAnsiTheme="majorHAnsi" w:cstheme="majorBidi"/>
      <w:b w:val="0"/>
      <w:i/>
      <w:iCs/>
      <w:color w:val="404040" w:themeColor="text1" w:themeTint="BF"/>
      <w:szCs w:val="22"/>
    </w:rPr>
  </w:style>
  <w:style w:type="paragraph" w:styleId="Ttulo8">
    <w:name w:val="heading 8"/>
    <w:basedOn w:val="Normal"/>
    <w:next w:val="Normal"/>
    <w:link w:val="Ttulo8Char"/>
    <w:uiPriority w:val="9"/>
    <w:semiHidden/>
    <w:unhideWhenUsed/>
    <w:qFormat/>
    <w:rsid w:val="00662E49"/>
    <w:pPr>
      <w:keepNext/>
      <w:keepLines/>
      <w:numPr>
        <w:ilvl w:val="7"/>
        <w:numId w:val="1"/>
      </w:numPr>
      <w:spacing w:before="200"/>
      <w:outlineLvl w:val="7"/>
    </w:pPr>
    <w:rPr>
      <w:rFonts w:asciiTheme="majorHAnsi" w:eastAsiaTheme="majorEastAsia" w:hAnsiTheme="majorHAnsi" w:cstheme="majorBidi"/>
      <w:b w:val="0"/>
      <w:color w:val="404040" w:themeColor="text1" w:themeTint="BF"/>
      <w:sz w:val="20"/>
      <w:szCs w:val="20"/>
    </w:rPr>
  </w:style>
  <w:style w:type="paragraph" w:styleId="Ttulo9">
    <w:name w:val="heading 9"/>
    <w:basedOn w:val="Normal"/>
    <w:next w:val="Normal"/>
    <w:link w:val="Ttulo9Char"/>
    <w:uiPriority w:val="9"/>
    <w:semiHidden/>
    <w:unhideWhenUsed/>
    <w:qFormat/>
    <w:rsid w:val="00662E49"/>
    <w:pPr>
      <w:keepNext/>
      <w:keepLines/>
      <w:numPr>
        <w:ilvl w:val="8"/>
        <w:numId w:val="1"/>
      </w:numPr>
      <w:spacing w:before="200"/>
      <w:outlineLvl w:val="8"/>
    </w:pPr>
    <w:rPr>
      <w:rFonts w:asciiTheme="majorHAnsi" w:eastAsiaTheme="majorEastAsia" w:hAnsiTheme="majorHAnsi" w:cstheme="majorBidi"/>
      <w:b w:val="0"/>
      <w:i/>
      <w:iCs/>
      <w:color w:val="404040" w:themeColor="text1" w:themeTint="BF"/>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662E49"/>
    <w:rPr>
      <w:rFonts w:ascii="Times New Roman" w:eastAsia="Times New Roman" w:hAnsi="Times New Roman" w:cs="Times New Roman"/>
      <w:b/>
      <w:bCs/>
      <w:sz w:val="24"/>
      <w:szCs w:val="28"/>
    </w:rPr>
  </w:style>
  <w:style w:type="character" w:customStyle="1" w:styleId="Ttulo2Char">
    <w:name w:val="Título 2 Char"/>
    <w:aliases w:val="subtítulo Char"/>
    <w:basedOn w:val="Fontepargpadro"/>
    <w:link w:val="Ttulo2"/>
    <w:uiPriority w:val="9"/>
    <w:rsid w:val="004B07D3"/>
    <w:rPr>
      <w:rFonts w:ascii="Times New Roman" w:eastAsiaTheme="majorEastAsia" w:hAnsi="Times New Roman" w:cs="Times New Roman"/>
      <w:b/>
      <w:bCs/>
      <w:color w:val="000000" w:themeColor="text1"/>
      <w:sz w:val="24"/>
      <w:szCs w:val="24"/>
    </w:rPr>
  </w:style>
  <w:style w:type="paragraph" w:styleId="PargrafodaLista">
    <w:name w:val="List Paragraph"/>
    <w:basedOn w:val="Normal"/>
    <w:uiPriority w:val="34"/>
    <w:qFormat/>
    <w:rsid w:val="00CC0D3C"/>
    <w:pPr>
      <w:spacing w:after="200" w:line="276" w:lineRule="auto"/>
      <w:ind w:left="720"/>
      <w:contextualSpacing/>
    </w:pPr>
    <w:rPr>
      <w:rFonts w:ascii="Calibri" w:hAnsi="Calibri" w:cs="Times New Roman"/>
      <w:b w:val="0"/>
      <w:sz w:val="22"/>
      <w:szCs w:val="22"/>
    </w:rPr>
  </w:style>
  <w:style w:type="character" w:customStyle="1" w:styleId="Ttulo3Char">
    <w:name w:val="Título 3 Char"/>
    <w:basedOn w:val="Fontepargpadro"/>
    <w:link w:val="Ttulo3"/>
    <w:uiPriority w:val="9"/>
    <w:rsid w:val="00662E49"/>
    <w:rPr>
      <w:rFonts w:ascii="Times New Roman" w:eastAsia="Calibri" w:hAnsi="Times New Roman" w:cs="Times New Roman"/>
      <w:sz w:val="24"/>
    </w:rPr>
  </w:style>
  <w:style w:type="character" w:customStyle="1" w:styleId="Ttulo4Char">
    <w:name w:val="Título 4 Char"/>
    <w:basedOn w:val="Fontepargpadro"/>
    <w:link w:val="Ttulo4"/>
    <w:uiPriority w:val="9"/>
    <w:rsid w:val="00662E49"/>
    <w:rPr>
      <w:rFonts w:asciiTheme="majorHAnsi" w:eastAsiaTheme="majorEastAsia" w:hAnsiTheme="majorHAnsi" w:cstheme="majorBidi"/>
      <w:b/>
      <w:bCs/>
      <w:i/>
      <w:iCs/>
      <w:color w:val="4472C4" w:themeColor="accent1"/>
      <w:sz w:val="24"/>
    </w:rPr>
  </w:style>
  <w:style w:type="character" w:customStyle="1" w:styleId="Ttulo5Char">
    <w:name w:val="Título 5 Char"/>
    <w:basedOn w:val="Fontepargpadro"/>
    <w:link w:val="Ttulo5"/>
    <w:uiPriority w:val="9"/>
    <w:semiHidden/>
    <w:rsid w:val="00662E49"/>
    <w:rPr>
      <w:rFonts w:asciiTheme="majorHAnsi" w:eastAsiaTheme="majorEastAsia" w:hAnsiTheme="majorHAnsi" w:cstheme="majorBidi"/>
      <w:color w:val="1F3763" w:themeColor="accent1" w:themeShade="7F"/>
      <w:sz w:val="24"/>
    </w:rPr>
  </w:style>
  <w:style w:type="character" w:customStyle="1" w:styleId="Ttulo6Char">
    <w:name w:val="Título 6 Char"/>
    <w:basedOn w:val="Fontepargpadro"/>
    <w:link w:val="Ttulo6"/>
    <w:uiPriority w:val="9"/>
    <w:semiHidden/>
    <w:rsid w:val="00662E49"/>
    <w:rPr>
      <w:rFonts w:asciiTheme="majorHAnsi" w:eastAsiaTheme="majorEastAsia" w:hAnsiTheme="majorHAnsi" w:cstheme="majorBidi"/>
      <w:i/>
      <w:iCs/>
      <w:color w:val="1F3763" w:themeColor="accent1" w:themeShade="7F"/>
      <w:sz w:val="24"/>
    </w:rPr>
  </w:style>
  <w:style w:type="character" w:customStyle="1" w:styleId="Ttulo7Char">
    <w:name w:val="Título 7 Char"/>
    <w:basedOn w:val="Fontepargpadro"/>
    <w:link w:val="Ttulo7"/>
    <w:uiPriority w:val="9"/>
    <w:semiHidden/>
    <w:rsid w:val="00662E49"/>
    <w:rPr>
      <w:rFonts w:asciiTheme="majorHAnsi" w:eastAsiaTheme="majorEastAsia" w:hAnsiTheme="majorHAnsi" w:cstheme="majorBidi"/>
      <w:i/>
      <w:iCs/>
      <w:color w:val="404040" w:themeColor="text1" w:themeTint="BF"/>
      <w:sz w:val="24"/>
    </w:rPr>
  </w:style>
  <w:style w:type="character" w:customStyle="1" w:styleId="Ttulo8Char">
    <w:name w:val="Título 8 Char"/>
    <w:basedOn w:val="Fontepargpadro"/>
    <w:link w:val="Ttulo8"/>
    <w:uiPriority w:val="9"/>
    <w:semiHidden/>
    <w:rsid w:val="00662E49"/>
    <w:rPr>
      <w:rFonts w:asciiTheme="majorHAnsi" w:eastAsiaTheme="majorEastAsia" w:hAnsiTheme="majorHAnsi" w:cstheme="majorBidi"/>
      <w:color w:val="404040" w:themeColor="text1" w:themeTint="BF"/>
      <w:sz w:val="20"/>
      <w:szCs w:val="20"/>
    </w:rPr>
  </w:style>
  <w:style w:type="character" w:customStyle="1" w:styleId="Ttulo9Char">
    <w:name w:val="Título 9 Char"/>
    <w:basedOn w:val="Fontepargpadro"/>
    <w:link w:val="Ttulo9"/>
    <w:uiPriority w:val="9"/>
    <w:semiHidden/>
    <w:rsid w:val="00662E49"/>
    <w:rPr>
      <w:rFonts w:asciiTheme="majorHAnsi" w:eastAsiaTheme="majorEastAsia" w:hAnsiTheme="majorHAnsi" w:cstheme="majorBidi"/>
      <w:i/>
      <w:iCs/>
      <w:color w:val="404040" w:themeColor="text1" w:themeTint="BF"/>
      <w:sz w:val="20"/>
      <w:szCs w:val="20"/>
    </w:rPr>
  </w:style>
  <w:style w:type="paragraph" w:customStyle="1" w:styleId="Default">
    <w:name w:val="Default"/>
    <w:rsid w:val="00CC0D3C"/>
    <w:pPr>
      <w:autoSpaceDE w:val="0"/>
      <w:autoSpaceDN w:val="0"/>
      <w:adjustRightInd w:val="0"/>
      <w:spacing w:after="0" w:line="240" w:lineRule="auto"/>
    </w:pPr>
    <w:rPr>
      <w:rFonts w:ascii="Times New Roman" w:eastAsia="Calibri" w:hAnsi="Times New Roman" w:cs="Times New Roman"/>
      <w:color w:val="000000"/>
      <w:sz w:val="24"/>
      <w:szCs w:val="24"/>
      <w:lang w:eastAsia="pt-BR"/>
    </w:rPr>
  </w:style>
  <w:style w:type="paragraph" w:styleId="Textodenotaderodap">
    <w:name w:val="footnote text"/>
    <w:aliases w:val="Footnote Text Char Char Char Char Char,Footnote Text Char Char Char Char,Footnote reference,FA Fu,Footnote Text Char Char Char,Footnote Text Cha,FA Fußnotentext,FA Fuﬂnotentext,Texto nota pie Car,Footnote Text Char Char,fn,Char"/>
    <w:basedOn w:val="Normal"/>
    <w:link w:val="TextodenotaderodapChar"/>
    <w:uiPriority w:val="99"/>
    <w:unhideWhenUsed/>
    <w:rsid w:val="00CC0D3C"/>
    <w:rPr>
      <w:sz w:val="20"/>
      <w:szCs w:val="20"/>
    </w:rPr>
  </w:style>
  <w:style w:type="character" w:customStyle="1" w:styleId="TextodenotaderodapChar">
    <w:name w:val="Texto de nota de rodapé Char"/>
    <w:aliases w:val="Footnote Text Char Char Char Char Char Char,Footnote Text Char Char Char Char Char1,Footnote reference Char,FA Fu Char,Footnote Text Char Char Char Char1,Footnote Text Cha Char,FA Fußnotentext Char,FA Fuﬂnotentext Char"/>
    <w:basedOn w:val="Fontepargpadro"/>
    <w:link w:val="Textodenotaderodap"/>
    <w:uiPriority w:val="99"/>
    <w:rsid w:val="00CC0D3C"/>
    <w:rPr>
      <w:rFonts w:ascii="Arial" w:eastAsia="Calibri" w:hAnsi="Arial" w:cs="Arial"/>
      <w:b/>
      <w:sz w:val="20"/>
      <w:szCs w:val="20"/>
    </w:rPr>
  </w:style>
  <w:style w:type="character" w:styleId="Refdenotaderodap">
    <w:name w:val="footnote reference"/>
    <w:uiPriority w:val="99"/>
    <w:unhideWhenUsed/>
    <w:rsid w:val="00CC0D3C"/>
    <w:rPr>
      <w:vertAlign w:val="superscript"/>
    </w:rPr>
  </w:style>
  <w:style w:type="character" w:styleId="nfase">
    <w:name w:val="Emphasis"/>
    <w:uiPriority w:val="20"/>
    <w:qFormat/>
    <w:rsid w:val="00CC0D3C"/>
    <w:rPr>
      <w:i/>
      <w:iCs/>
    </w:rPr>
  </w:style>
  <w:style w:type="character" w:styleId="Hyperlink">
    <w:name w:val="Hyperlink"/>
    <w:uiPriority w:val="99"/>
    <w:unhideWhenUsed/>
    <w:rsid w:val="00CC0D3C"/>
    <w:rPr>
      <w:color w:val="0000FF"/>
      <w:u w:val="single"/>
    </w:rPr>
  </w:style>
  <w:style w:type="paragraph" w:styleId="Rodap">
    <w:name w:val="footer"/>
    <w:basedOn w:val="Normal"/>
    <w:link w:val="RodapChar"/>
    <w:uiPriority w:val="99"/>
    <w:unhideWhenUsed/>
    <w:rsid w:val="00CC0D3C"/>
    <w:pPr>
      <w:tabs>
        <w:tab w:val="center" w:pos="4252"/>
        <w:tab w:val="right" w:pos="8504"/>
      </w:tabs>
    </w:pPr>
  </w:style>
  <w:style w:type="character" w:customStyle="1" w:styleId="RodapChar">
    <w:name w:val="Rodapé Char"/>
    <w:basedOn w:val="Fontepargpadro"/>
    <w:link w:val="Rodap"/>
    <w:uiPriority w:val="99"/>
    <w:rsid w:val="00CC0D3C"/>
    <w:rPr>
      <w:rFonts w:ascii="Arial" w:eastAsia="Calibri" w:hAnsi="Arial" w:cs="Arial"/>
      <w:b/>
      <w:sz w:val="28"/>
      <w:szCs w:val="24"/>
    </w:rPr>
  </w:style>
  <w:style w:type="character" w:customStyle="1" w:styleId="dados">
    <w:name w:val="dados"/>
    <w:rsid w:val="00CC0D3C"/>
  </w:style>
  <w:style w:type="character" w:styleId="Forte">
    <w:name w:val="Strong"/>
    <w:uiPriority w:val="22"/>
    <w:qFormat/>
    <w:rsid w:val="008449BF"/>
    <w:rPr>
      <w:b/>
      <w:bCs/>
    </w:rPr>
  </w:style>
  <w:style w:type="paragraph" w:customStyle="1" w:styleId="Style3">
    <w:name w:val="Style3"/>
    <w:basedOn w:val="Normal"/>
    <w:uiPriority w:val="99"/>
    <w:rsid w:val="00662E49"/>
    <w:pPr>
      <w:widowControl w:val="0"/>
      <w:autoSpaceDE w:val="0"/>
      <w:autoSpaceDN w:val="0"/>
      <w:adjustRightInd w:val="0"/>
      <w:spacing w:line="240" w:lineRule="auto"/>
    </w:pPr>
    <w:rPr>
      <w:rFonts w:ascii="Palatino Linotype" w:eastAsia="Times New Roman" w:hAnsi="Palatino Linotype" w:cs="Times New Roman"/>
      <w:b w:val="0"/>
      <w:lang w:val="de-DE" w:eastAsia="de-DE"/>
    </w:rPr>
  </w:style>
  <w:style w:type="character" w:customStyle="1" w:styleId="FontStyle14">
    <w:name w:val="Font Style14"/>
    <w:uiPriority w:val="99"/>
    <w:rsid w:val="00662E49"/>
    <w:rPr>
      <w:rFonts w:ascii="Palatino Linotype" w:hAnsi="Palatino Linotype" w:cs="Palatino Linotype"/>
      <w:sz w:val="14"/>
      <w:szCs w:val="14"/>
    </w:rPr>
  </w:style>
  <w:style w:type="paragraph" w:styleId="Pr-formataoHTML">
    <w:name w:val="HTML Preformatted"/>
    <w:basedOn w:val="Normal"/>
    <w:link w:val="Pr-formataoHTMLChar"/>
    <w:uiPriority w:val="99"/>
    <w:unhideWhenUsed/>
    <w:rsid w:val="00662E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b w:val="0"/>
      <w:sz w:val="20"/>
      <w:szCs w:val="20"/>
      <w:lang w:eastAsia="pt-BR"/>
    </w:rPr>
  </w:style>
  <w:style w:type="character" w:customStyle="1" w:styleId="Pr-formataoHTMLChar">
    <w:name w:val="Pré-formatação HTML Char"/>
    <w:basedOn w:val="Fontepargpadro"/>
    <w:link w:val="Pr-formataoHTML"/>
    <w:uiPriority w:val="99"/>
    <w:rsid w:val="00662E49"/>
    <w:rPr>
      <w:rFonts w:ascii="Courier New" w:eastAsia="Times New Roman" w:hAnsi="Courier New" w:cs="Courier New"/>
      <w:sz w:val="20"/>
      <w:szCs w:val="20"/>
      <w:lang w:eastAsia="pt-BR"/>
    </w:rPr>
  </w:style>
  <w:style w:type="paragraph" w:styleId="Cabealho">
    <w:name w:val="header"/>
    <w:basedOn w:val="Normal"/>
    <w:link w:val="CabealhoChar"/>
    <w:uiPriority w:val="99"/>
    <w:unhideWhenUsed/>
    <w:rsid w:val="00662E49"/>
    <w:pPr>
      <w:tabs>
        <w:tab w:val="center" w:pos="4252"/>
        <w:tab w:val="right" w:pos="8504"/>
      </w:tabs>
      <w:spacing w:line="240" w:lineRule="auto"/>
    </w:pPr>
    <w:rPr>
      <w:rFonts w:cs="Times New Roman"/>
      <w:b w:val="0"/>
      <w:szCs w:val="22"/>
    </w:rPr>
  </w:style>
  <w:style w:type="character" w:customStyle="1" w:styleId="CabealhoChar">
    <w:name w:val="Cabeçalho Char"/>
    <w:basedOn w:val="Fontepargpadro"/>
    <w:link w:val="Cabealho"/>
    <w:uiPriority w:val="99"/>
    <w:rsid w:val="00662E49"/>
    <w:rPr>
      <w:rFonts w:ascii="Times New Roman" w:eastAsia="Calibri" w:hAnsi="Times New Roman" w:cs="Times New Roman"/>
      <w:sz w:val="24"/>
    </w:rPr>
  </w:style>
  <w:style w:type="paragraph" w:styleId="Sumrio1">
    <w:name w:val="toc 1"/>
    <w:basedOn w:val="Normal"/>
    <w:next w:val="Normal"/>
    <w:autoRedefine/>
    <w:uiPriority w:val="39"/>
    <w:unhideWhenUsed/>
    <w:qFormat/>
    <w:rsid w:val="009A23E4"/>
    <w:pPr>
      <w:tabs>
        <w:tab w:val="left" w:pos="0"/>
        <w:tab w:val="right" w:leader="dot" w:pos="9061"/>
      </w:tabs>
      <w:spacing w:after="100"/>
      <w:ind w:firstLine="0"/>
    </w:pPr>
    <w:rPr>
      <w:rFonts w:cs="Times New Roman"/>
      <w:b w:val="0"/>
      <w:noProof/>
      <w:szCs w:val="22"/>
    </w:rPr>
  </w:style>
  <w:style w:type="paragraph" w:styleId="Sumrio2">
    <w:name w:val="toc 2"/>
    <w:basedOn w:val="Normal"/>
    <w:next w:val="Normal"/>
    <w:autoRedefine/>
    <w:uiPriority w:val="39"/>
    <w:unhideWhenUsed/>
    <w:qFormat/>
    <w:rsid w:val="00A11646"/>
    <w:pPr>
      <w:tabs>
        <w:tab w:val="left" w:pos="567"/>
        <w:tab w:val="right" w:leader="dot" w:pos="9061"/>
      </w:tabs>
      <w:spacing w:after="100" w:line="276" w:lineRule="auto"/>
      <w:ind w:firstLine="0"/>
    </w:pPr>
    <w:rPr>
      <w:rFonts w:eastAsiaTheme="minorEastAsia" w:cs="Times New Roman"/>
      <w:b w:val="0"/>
      <w:noProof/>
      <w:sz w:val="18"/>
      <w:szCs w:val="18"/>
      <w:lang w:eastAsia="pt-BR"/>
    </w:rPr>
  </w:style>
  <w:style w:type="paragraph" w:styleId="Sumrio3">
    <w:name w:val="toc 3"/>
    <w:basedOn w:val="Normal"/>
    <w:next w:val="Normal"/>
    <w:autoRedefine/>
    <w:uiPriority w:val="39"/>
    <w:unhideWhenUsed/>
    <w:qFormat/>
    <w:rsid w:val="00380072"/>
    <w:pPr>
      <w:tabs>
        <w:tab w:val="left" w:pos="567"/>
        <w:tab w:val="right" w:leader="dot" w:pos="9061"/>
      </w:tabs>
      <w:spacing w:after="100" w:line="276" w:lineRule="auto"/>
      <w:ind w:firstLine="0"/>
    </w:pPr>
    <w:rPr>
      <w:rFonts w:eastAsiaTheme="minorEastAsia" w:cs="Times New Roman"/>
      <w:b w:val="0"/>
      <w:noProof/>
      <w:lang w:eastAsia="pt-BR"/>
    </w:rPr>
  </w:style>
  <w:style w:type="paragraph" w:styleId="CabealhodoSumrio">
    <w:name w:val="TOC Heading"/>
    <w:basedOn w:val="Ttulo1"/>
    <w:next w:val="Normal"/>
    <w:uiPriority w:val="39"/>
    <w:unhideWhenUsed/>
    <w:qFormat/>
    <w:rsid w:val="004B07D3"/>
    <w:pPr>
      <w:numPr>
        <w:numId w:val="2"/>
      </w:numPr>
      <w:ind w:left="431" w:hanging="431"/>
      <w:outlineLvl w:val="9"/>
    </w:pPr>
    <w:rPr>
      <w:rFonts w:eastAsiaTheme="majorEastAsia" w:cstheme="majorBidi"/>
      <w:lang w:eastAsia="pt-BR"/>
    </w:rPr>
  </w:style>
  <w:style w:type="paragraph" w:styleId="Textodebalo">
    <w:name w:val="Balloon Text"/>
    <w:basedOn w:val="Normal"/>
    <w:link w:val="TextodebaloChar"/>
    <w:uiPriority w:val="99"/>
    <w:semiHidden/>
    <w:unhideWhenUsed/>
    <w:rsid w:val="004B07D3"/>
    <w:pPr>
      <w:spacing w:line="240" w:lineRule="auto"/>
    </w:pPr>
    <w:rPr>
      <w:rFonts w:ascii="Tahoma" w:hAnsi="Tahoma" w:cs="Tahoma"/>
      <w:b w:val="0"/>
      <w:sz w:val="16"/>
      <w:szCs w:val="16"/>
    </w:rPr>
  </w:style>
  <w:style w:type="character" w:customStyle="1" w:styleId="TextodebaloChar">
    <w:name w:val="Texto de balão Char"/>
    <w:basedOn w:val="Fontepargpadro"/>
    <w:link w:val="Textodebalo"/>
    <w:uiPriority w:val="99"/>
    <w:semiHidden/>
    <w:rsid w:val="004B07D3"/>
    <w:rPr>
      <w:rFonts w:ascii="Tahoma" w:eastAsia="Calibri" w:hAnsi="Tahoma" w:cs="Tahoma"/>
      <w:sz w:val="16"/>
      <w:szCs w:val="16"/>
    </w:rPr>
  </w:style>
  <w:style w:type="paragraph" w:styleId="Bibliografia">
    <w:name w:val="Bibliography"/>
    <w:basedOn w:val="Normal"/>
    <w:next w:val="Normal"/>
    <w:uiPriority w:val="37"/>
    <w:unhideWhenUsed/>
    <w:rsid w:val="004B07D3"/>
    <w:rPr>
      <w:rFonts w:cs="Times New Roman"/>
      <w:b w:val="0"/>
      <w:szCs w:val="22"/>
    </w:rPr>
  </w:style>
  <w:style w:type="paragraph" w:styleId="SemEspaamento">
    <w:name w:val="No Spacing"/>
    <w:aliases w:val="citação indireta,Citação indireta,RODAPE"/>
    <w:uiPriority w:val="1"/>
    <w:qFormat/>
    <w:rsid w:val="004B07D3"/>
    <w:pPr>
      <w:spacing w:after="0" w:line="240" w:lineRule="auto"/>
      <w:ind w:left="2268"/>
      <w:jc w:val="both"/>
    </w:pPr>
    <w:rPr>
      <w:rFonts w:ascii="Times New Roman" w:eastAsia="Calibri" w:hAnsi="Times New Roman" w:cs="Times New Roman"/>
      <w:sz w:val="20"/>
    </w:rPr>
  </w:style>
  <w:style w:type="character" w:customStyle="1" w:styleId="apple-converted-space">
    <w:name w:val="apple-converted-space"/>
    <w:basedOn w:val="Fontepargpadro"/>
    <w:rsid w:val="004B07D3"/>
  </w:style>
  <w:style w:type="character" w:customStyle="1" w:styleId="A6">
    <w:name w:val="A6"/>
    <w:uiPriority w:val="99"/>
    <w:rsid w:val="004B07D3"/>
    <w:rPr>
      <w:rFonts w:cs="HelveticaNeue LT 57 Cn"/>
      <w:color w:val="000000"/>
      <w:sz w:val="20"/>
      <w:szCs w:val="20"/>
    </w:rPr>
  </w:style>
  <w:style w:type="paragraph" w:customStyle="1" w:styleId="Pa6">
    <w:name w:val="Pa6"/>
    <w:basedOn w:val="Normal"/>
    <w:next w:val="Normal"/>
    <w:uiPriority w:val="99"/>
    <w:rsid w:val="004B07D3"/>
    <w:pPr>
      <w:autoSpaceDE w:val="0"/>
      <w:autoSpaceDN w:val="0"/>
      <w:adjustRightInd w:val="0"/>
      <w:spacing w:line="241" w:lineRule="atLeast"/>
    </w:pPr>
    <w:rPr>
      <w:rFonts w:ascii="HelveticaNeue LT 57 Cn" w:hAnsi="HelveticaNeue LT 57 Cn" w:cs="Times New Roman"/>
      <w:b w:val="0"/>
    </w:rPr>
  </w:style>
  <w:style w:type="paragraph" w:styleId="NormalWeb">
    <w:name w:val="Normal (Web)"/>
    <w:basedOn w:val="Normal"/>
    <w:uiPriority w:val="99"/>
    <w:unhideWhenUsed/>
    <w:rsid w:val="004B07D3"/>
    <w:pPr>
      <w:spacing w:before="100" w:beforeAutospacing="1" w:after="100" w:afterAutospacing="1" w:line="240" w:lineRule="auto"/>
    </w:pPr>
    <w:rPr>
      <w:rFonts w:eastAsia="Times New Roman" w:cs="Times New Roman"/>
      <w:b w:val="0"/>
      <w:lang w:eastAsia="pt-BR"/>
    </w:rPr>
  </w:style>
  <w:style w:type="paragraph" w:customStyle="1" w:styleId="corpo">
    <w:name w:val="corpo"/>
    <w:basedOn w:val="Rodap"/>
    <w:qFormat/>
    <w:rsid w:val="005E0BA3"/>
    <w:rPr>
      <w:rFonts w:cs="Times New Roman"/>
      <w:b w:val="0"/>
      <w:szCs w:val="22"/>
    </w:rPr>
  </w:style>
  <w:style w:type="paragraph" w:styleId="Citao">
    <w:name w:val="Quote"/>
    <w:aliases w:val="nota de rodapé"/>
    <w:basedOn w:val="Normal"/>
    <w:next w:val="Normal"/>
    <w:link w:val="CitaoChar"/>
    <w:uiPriority w:val="29"/>
    <w:qFormat/>
    <w:rsid w:val="004B07D3"/>
    <w:pPr>
      <w:spacing w:line="240" w:lineRule="auto"/>
    </w:pPr>
    <w:rPr>
      <w:rFonts w:eastAsiaTheme="minorHAnsi" w:cs="Times New Roman"/>
      <w:b w:val="0"/>
      <w:iCs/>
      <w:color w:val="000000" w:themeColor="text1"/>
      <w:sz w:val="20"/>
      <w:shd w:val="clear" w:color="auto" w:fill="FFFFFF"/>
    </w:rPr>
  </w:style>
  <w:style w:type="character" w:customStyle="1" w:styleId="CitaoChar">
    <w:name w:val="Citação Char"/>
    <w:aliases w:val="nota de rodapé Char"/>
    <w:basedOn w:val="Fontepargpadro"/>
    <w:link w:val="Citao"/>
    <w:uiPriority w:val="29"/>
    <w:rsid w:val="004B07D3"/>
    <w:rPr>
      <w:rFonts w:ascii="Times New Roman" w:hAnsi="Times New Roman" w:cs="Times New Roman"/>
      <w:iCs/>
      <w:color w:val="000000" w:themeColor="text1"/>
      <w:sz w:val="20"/>
      <w:szCs w:val="24"/>
    </w:rPr>
  </w:style>
  <w:style w:type="paragraph" w:styleId="Recuodecorpodetexto">
    <w:name w:val="Body Text Indent"/>
    <w:basedOn w:val="Normal"/>
    <w:link w:val="RecuodecorpodetextoChar"/>
    <w:uiPriority w:val="99"/>
    <w:unhideWhenUsed/>
    <w:rsid w:val="004B07D3"/>
    <w:rPr>
      <w:rFonts w:cs="Times New Roman"/>
      <w:b w:val="0"/>
      <w:color w:val="FF0000"/>
      <w:szCs w:val="22"/>
    </w:rPr>
  </w:style>
  <w:style w:type="character" w:customStyle="1" w:styleId="RecuodecorpodetextoChar">
    <w:name w:val="Recuo de corpo de texto Char"/>
    <w:basedOn w:val="Fontepargpadro"/>
    <w:link w:val="Recuodecorpodetexto"/>
    <w:uiPriority w:val="99"/>
    <w:rsid w:val="004B07D3"/>
    <w:rPr>
      <w:rFonts w:ascii="Times New Roman" w:eastAsia="Calibri" w:hAnsi="Times New Roman" w:cs="Times New Roman"/>
      <w:color w:val="FF0000"/>
      <w:sz w:val="24"/>
    </w:rPr>
  </w:style>
  <w:style w:type="paragraph" w:styleId="Recuodecorpodetexto2">
    <w:name w:val="Body Text Indent 2"/>
    <w:basedOn w:val="Normal"/>
    <w:link w:val="Recuodecorpodetexto2Char"/>
    <w:uiPriority w:val="99"/>
    <w:unhideWhenUsed/>
    <w:rsid w:val="004B07D3"/>
    <w:rPr>
      <w:rFonts w:cs="Times New Roman"/>
      <w:b w:val="0"/>
      <w:szCs w:val="22"/>
    </w:rPr>
  </w:style>
  <w:style w:type="character" w:customStyle="1" w:styleId="Recuodecorpodetexto2Char">
    <w:name w:val="Recuo de corpo de texto 2 Char"/>
    <w:basedOn w:val="Fontepargpadro"/>
    <w:link w:val="Recuodecorpodetexto2"/>
    <w:uiPriority w:val="99"/>
    <w:rsid w:val="004B07D3"/>
    <w:rPr>
      <w:rFonts w:ascii="Times New Roman" w:eastAsia="Calibri" w:hAnsi="Times New Roman" w:cs="Times New Roman"/>
      <w:sz w:val="24"/>
    </w:rPr>
  </w:style>
  <w:style w:type="paragraph" w:styleId="Recuodecorpodetexto3">
    <w:name w:val="Body Text Indent 3"/>
    <w:basedOn w:val="Normal"/>
    <w:link w:val="Recuodecorpodetexto3Char"/>
    <w:uiPriority w:val="99"/>
    <w:unhideWhenUsed/>
    <w:rsid w:val="004B07D3"/>
    <w:rPr>
      <w:rFonts w:cs="Times New Roman"/>
      <w:b w:val="0"/>
      <w:color w:val="000000" w:themeColor="text1"/>
      <w:szCs w:val="22"/>
    </w:rPr>
  </w:style>
  <w:style w:type="character" w:customStyle="1" w:styleId="Recuodecorpodetexto3Char">
    <w:name w:val="Recuo de corpo de texto 3 Char"/>
    <w:basedOn w:val="Fontepargpadro"/>
    <w:link w:val="Recuodecorpodetexto3"/>
    <w:uiPriority w:val="99"/>
    <w:rsid w:val="004B07D3"/>
    <w:rPr>
      <w:rFonts w:ascii="Times New Roman" w:eastAsia="Calibri" w:hAnsi="Times New Roman" w:cs="Times New Roman"/>
      <w:color w:val="000000" w:themeColor="text1"/>
      <w:sz w:val="24"/>
    </w:rPr>
  </w:style>
  <w:style w:type="paragraph" w:customStyle="1" w:styleId="artart">
    <w:name w:val="artart"/>
    <w:basedOn w:val="Normal"/>
    <w:rsid w:val="004B07D3"/>
    <w:pPr>
      <w:spacing w:before="100" w:beforeAutospacing="1" w:after="100" w:afterAutospacing="1" w:line="240" w:lineRule="auto"/>
    </w:pPr>
    <w:rPr>
      <w:rFonts w:eastAsia="Times New Roman" w:cs="Times New Roman"/>
      <w:b w:val="0"/>
      <w:lang w:eastAsia="pt-BR"/>
    </w:rPr>
  </w:style>
  <w:style w:type="character" w:customStyle="1" w:styleId="a">
    <w:name w:val="_"/>
    <w:basedOn w:val="Fontepargpadro"/>
    <w:rsid w:val="004B07D3"/>
  </w:style>
  <w:style w:type="character" w:customStyle="1" w:styleId="ls3">
    <w:name w:val="ls3"/>
    <w:basedOn w:val="Fontepargpadro"/>
    <w:rsid w:val="004B07D3"/>
  </w:style>
  <w:style w:type="character" w:customStyle="1" w:styleId="ffb">
    <w:name w:val="ffb"/>
    <w:basedOn w:val="Fontepargpadro"/>
    <w:rsid w:val="004B07D3"/>
  </w:style>
  <w:style w:type="character" w:customStyle="1" w:styleId="lsd">
    <w:name w:val="lsd"/>
    <w:basedOn w:val="Fontepargpadro"/>
    <w:rsid w:val="004B07D3"/>
  </w:style>
  <w:style w:type="character" w:customStyle="1" w:styleId="ws99">
    <w:name w:val="ws99"/>
    <w:basedOn w:val="Fontepargpadro"/>
    <w:rsid w:val="004B07D3"/>
  </w:style>
  <w:style w:type="character" w:styleId="CitaoHTML">
    <w:name w:val="HTML Cite"/>
    <w:uiPriority w:val="99"/>
    <w:rsid w:val="004B07D3"/>
    <w:rPr>
      <w:rFonts w:cs="Times New Roman"/>
      <w:i/>
    </w:rPr>
  </w:style>
  <w:style w:type="paragraph" w:customStyle="1" w:styleId="artigo">
    <w:name w:val="artigo"/>
    <w:basedOn w:val="Normal"/>
    <w:rsid w:val="004B07D3"/>
    <w:pPr>
      <w:spacing w:before="100" w:beforeAutospacing="1" w:after="100" w:afterAutospacing="1" w:line="240" w:lineRule="auto"/>
    </w:pPr>
    <w:rPr>
      <w:rFonts w:eastAsia="Times New Roman" w:cs="Times New Roman"/>
      <w:b w:val="0"/>
      <w:lang w:eastAsia="pt-BR"/>
    </w:rPr>
  </w:style>
  <w:style w:type="character" w:styleId="MenoPendente">
    <w:name w:val="Unresolved Mention"/>
    <w:basedOn w:val="Fontepargpadro"/>
    <w:uiPriority w:val="99"/>
    <w:semiHidden/>
    <w:unhideWhenUsed/>
    <w:rsid w:val="000241FB"/>
    <w:rPr>
      <w:color w:val="605E5C"/>
      <w:shd w:val="clear" w:color="auto" w:fill="E1DFDD"/>
    </w:rPr>
  </w:style>
  <w:style w:type="paragraph" w:customStyle="1" w:styleId="texto">
    <w:name w:val="texto"/>
    <w:rsid w:val="00AD5DB4"/>
    <w:pPr>
      <w:widowControl w:val="0"/>
      <w:spacing w:after="64" w:line="270" w:lineRule="auto"/>
      <w:ind w:firstLine="448"/>
      <w:jc w:val="both"/>
    </w:pPr>
    <w:rPr>
      <w:rFonts w:ascii="Times" w:eastAsia="Times New Roman" w:hAnsi="Times" w:cs="Times New Roman"/>
      <w:sz w:val="23"/>
      <w:szCs w:val="20"/>
      <w:lang w:eastAsia="pt-BR"/>
    </w:rPr>
  </w:style>
  <w:style w:type="character" w:customStyle="1" w:styleId="url">
    <w:name w:val="url"/>
    <w:basedOn w:val="Fontepargpadro"/>
    <w:rsid w:val="00941A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95999483">
      <w:bodyDiv w:val="1"/>
      <w:marLeft w:val="0"/>
      <w:marRight w:val="0"/>
      <w:marTop w:val="0"/>
      <w:marBottom w:val="0"/>
      <w:divBdr>
        <w:top w:val="none" w:sz="0" w:space="0" w:color="auto"/>
        <w:left w:val="none" w:sz="0" w:space="0" w:color="auto"/>
        <w:bottom w:val="none" w:sz="0" w:space="0" w:color="auto"/>
        <w:right w:val="none" w:sz="0" w:space="0" w:color="auto"/>
      </w:divBdr>
    </w:div>
    <w:div w:id="1934506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www.planalto.gov.br/ccivil_03/decreto/1990-1994/d99710.htm" TargetMode="External"/><Relationship Id="rId2" Type="http://schemas.openxmlformats.org/officeDocument/2006/relationships/hyperlink" Target="https://www.ohchr.org/EN/UDHR/Pages/Language.aspx?LangID=por" TargetMode="External"/><Relationship Id="rId1" Type="http://schemas.openxmlformats.org/officeDocument/2006/relationships/hyperlink" Target="http://www.planalto.gov.br/ccivil_03/decreto/1930-1949/D19841.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498B92-8A94-4780-8594-8AFE747D9C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36414</TotalTime>
  <Pages>108</Pages>
  <Words>39610</Words>
  <Characters>213899</Characters>
  <Application>Microsoft Office Word</Application>
  <DocSecurity>0</DocSecurity>
  <Lines>1782</Lines>
  <Paragraphs>506</Paragraphs>
  <ScaleCrop>false</ScaleCrop>
  <HeadingPairs>
    <vt:vector size="4" baseType="variant">
      <vt:variant>
        <vt:lpstr>Título</vt:lpstr>
      </vt:variant>
      <vt:variant>
        <vt:i4>1</vt:i4>
      </vt:variant>
      <vt:variant>
        <vt:lpstr>Títulos</vt:lpstr>
      </vt:variant>
      <vt:variant>
        <vt:i4>19</vt:i4>
      </vt:variant>
    </vt:vector>
  </HeadingPairs>
  <TitlesOfParts>
    <vt:vector size="20" baseType="lpstr">
      <vt:lpstr/>
      <vt:lpstr>&lt;SUMÁRIO</vt:lpstr>
      <vt:lpstr>INTRODUÇÃO</vt:lpstr>
      <vt:lpstr>REFLEXÕES SOBRE O ESTADO DE FILIAÇÃO</vt:lpstr>
      <vt:lpstr>    O Estado de Filiação como um Direito Fundamental</vt:lpstr>
      <vt:lpstr>    Princípios Aplicáveis ao estado de filiação socioafetivo</vt:lpstr>
      <vt:lpstr>        Princípio do respeito à Dignidade da Pessoa Humana</vt:lpstr>
      <vt:lpstr>        Princípio da Proteção especial à família</vt:lpstr>
      <vt:lpstr>        Princípio da Solidariedade</vt:lpstr>
      <vt:lpstr>        Princípio da Igualdade ou da não discriminação dos filhos</vt:lpstr>
      <vt:lpstr>        Princípio da Paternidade Responsável e Planejamento familiar</vt:lpstr>
      <vt:lpstr>        Princípio do Melhor interesse da criança, do adolescente ou Princípio da Priorid</vt:lpstr>
      <vt:lpstr>        Princípio da Afetividade</vt:lpstr>
      <vt:lpstr>        Princípio do Pluralismo familiar</vt:lpstr>
      <vt:lpstr>CONSIDERAÇÕES INICIAIS ACERCA DA FILIAÇÃO</vt:lpstr>
      <vt:lpstr>    Da Filiação</vt:lpstr>
      <vt:lpstr>        Filiação Jurídica</vt:lpstr>
      <vt:lpstr>        Filiação Biológica</vt:lpstr>
      <vt:lpstr>        Filiação Socioafetiva</vt:lpstr>
      <vt:lpstr>        Filiação Socioafetiva advinda da Adoção à Brasileira</vt:lpstr>
    </vt:vector>
  </TitlesOfParts>
  <Company/>
  <LinksUpToDate>false</LinksUpToDate>
  <CharactersWithSpaces>253003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erika kazumi</dc:creator>
  <cp:keywords/>
  <dc:description/>
  <cp:lastModifiedBy>erika kazumi</cp:lastModifiedBy>
  <cp:revision>1156</cp:revision>
  <cp:lastPrinted>2020-01-11T00:19:00Z</cp:lastPrinted>
  <dcterms:created xsi:type="dcterms:W3CDTF">2019-07-14T15:55:00Z</dcterms:created>
  <dcterms:modified xsi:type="dcterms:W3CDTF">2020-05-04T18:40:00Z</dcterms:modified>
</cp:coreProperties>
</file>